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144"/>
        <w:ind w:hanging="0" w:start="0"/>
        <w:jc w:val="start"/>
        <w:rPr>
          <w:sz w:val="18"/>
        </w:rPr>
      </w:pPr>
      <w:r>
        <w:rPr>
          <w:sz w:val="18"/>
        </w:rPr>
        <w:t xml:space="preserve"> </w:t>
      </w:r>
    </w:p>
    <w:p>
      <w:pPr>
        <w:pStyle w:val="Normal"/>
        <w:spacing w:lineRule="auto" w:line="259" w:before="0" w:after="144"/>
        <w:ind w:hanging="0" w:start="0"/>
        <w:jc w:val="start"/>
        <w:rPr/>
      </w:pPr>
      <w:r>
        <w:rPr/>
      </w:r>
    </w:p>
    <w:p>
      <w:pPr>
        <w:pStyle w:val="Normal"/>
        <w:spacing w:lineRule="auto" w:line="259" w:before="0" w:after="144"/>
        <w:ind w:hanging="0" w:start="0"/>
        <w:jc w:val="start"/>
        <w:rPr/>
      </w:pPr>
      <w:r>
        <w:rPr/>
      </w:r>
    </w:p>
    <w:p>
      <w:pPr>
        <w:pStyle w:val="Normal"/>
        <w:spacing w:lineRule="auto" w:line="259" w:before="0" w:after="144"/>
        <w:ind w:hanging="0" w:start="0"/>
        <w:jc w:val="start"/>
        <w:rPr/>
      </w:pPr>
      <w:r>
        <w:rPr/>
      </w:r>
    </w:p>
    <w:p>
      <w:pPr>
        <w:pStyle w:val="Normal"/>
        <w:spacing w:lineRule="auto" w:line="259" w:before="0" w:after="144"/>
        <w:ind w:hanging="0" w:start="0"/>
        <w:jc w:val="start"/>
        <w:rPr/>
      </w:pPr>
      <w:r>
        <w:rPr/>
      </w:r>
    </w:p>
    <w:p>
      <w:pPr>
        <w:pStyle w:val="Normal"/>
        <w:spacing w:lineRule="auto" w:line="259" w:before="0" w:after="0"/>
        <w:ind w:hanging="0" w:start="0"/>
        <w:jc w:val="start"/>
        <w:rPr/>
      </w:pPr>
      <w:r>
        <w:rPr>
          <w:sz w:val="36"/>
        </w:rPr>
        <w:t xml:space="preserve"> </w:t>
      </w:r>
    </w:p>
    <w:p>
      <w:pPr>
        <w:pStyle w:val="Normal"/>
        <w:spacing w:lineRule="auto" w:line="259" w:before="0" w:after="0"/>
        <w:ind w:hanging="10" w:start="10" w:end="20"/>
        <w:jc w:val="center"/>
        <w:rPr>
          <w:b/>
        </w:rPr>
      </w:pPr>
      <w:r>
        <w:rPr>
          <w:b/>
          <w:sz w:val="36"/>
        </w:rPr>
        <w:t>SPECYFIKACJA TECHNICZNA</w:t>
      </w:r>
    </w:p>
    <w:p>
      <w:pPr>
        <w:pStyle w:val="Normal"/>
        <w:spacing w:lineRule="auto" w:line="259" w:before="0" w:after="0"/>
        <w:ind w:hanging="0" w:start="0" w:end="20"/>
        <w:jc w:val="center"/>
        <w:rPr>
          <w:b/>
        </w:rPr>
      </w:pPr>
      <w:r>
        <w:rPr>
          <w:b/>
        </w:rPr>
      </w:r>
    </w:p>
    <w:p>
      <w:pPr>
        <w:pStyle w:val="Normal"/>
        <w:spacing w:lineRule="auto" w:line="259" w:before="0" w:after="0"/>
        <w:ind w:hanging="10" w:start="10" w:end="20"/>
        <w:jc w:val="center"/>
        <w:rPr>
          <w:b/>
        </w:rPr>
      </w:pPr>
      <w:r>
        <w:rPr>
          <w:b/>
          <w:sz w:val="36"/>
        </w:rPr>
        <w:t>WYKONANIA I ODBIORU ROBÓT</w:t>
      </w:r>
    </w:p>
    <w:p>
      <w:pPr>
        <w:pStyle w:val="Normal"/>
        <w:spacing w:lineRule="auto" w:line="259" w:before="0" w:after="0"/>
        <w:ind w:hanging="0" w:start="0" w:end="219"/>
        <w:jc w:val="center"/>
        <w:rPr/>
      </w:pPr>
      <w:r>
        <w:rPr>
          <w:sz w:val="36"/>
        </w:rPr>
        <w:t xml:space="preserve"> </w:t>
      </w:r>
    </w:p>
    <w:p>
      <w:pPr>
        <w:pStyle w:val="Normal"/>
        <w:spacing w:lineRule="auto" w:line="259" w:before="0" w:after="36"/>
        <w:ind w:hanging="0" w:start="0" w:end="219"/>
        <w:jc w:val="center"/>
        <w:rPr/>
      </w:pPr>
      <w:r>
        <w:rPr>
          <w:sz w:val="36"/>
        </w:rPr>
        <w:t xml:space="preserve"> </w:t>
      </w:r>
    </w:p>
    <w:p>
      <w:pPr>
        <w:pStyle w:val="Normal"/>
        <w:spacing w:lineRule="auto" w:line="259" w:before="0" w:after="31"/>
        <w:ind w:hanging="10" w:start="10" w:end="20"/>
        <w:jc w:val="center"/>
        <w:rPr>
          <w:sz w:val="32"/>
          <w:szCs w:val="32"/>
        </w:rPr>
      </w:pPr>
      <w:r>
        <w:rPr>
          <w:sz w:val="32"/>
          <w:szCs w:val="32"/>
        </w:rPr>
        <w:t>BRANŻA BUDOWLANA</w:t>
      </w:r>
    </w:p>
    <w:p>
      <w:pPr>
        <w:pStyle w:val="Normal"/>
        <w:spacing w:lineRule="auto" w:line="259" w:before="0" w:after="31"/>
        <w:ind w:hanging="10" w:start="10" w:end="1934"/>
        <w:jc w:val="end"/>
        <w:rPr>
          <w:sz w:val="36"/>
        </w:rPr>
      </w:pPr>
      <w:r>
        <w:rPr>
          <w:sz w:val="36"/>
        </w:rPr>
      </w:r>
    </w:p>
    <w:p>
      <w:pPr>
        <w:pStyle w:val="Normal"/>
        <w:spacing w:lineRule="auto" w:line="259" w:before="0" w:after="31"/>
        <w:ind w:hanging="10" w:start="10" w:end="1934"/>
        <w:jc w:val="end"/>
        <w:rPr>
          <w:sz w:val="36"/>
        </w:rPr>
      </w:pPr>
      <w:r>
        <w:rPr>
          <w:sz w:val="36"/>
        </w:rPr>
      </w:r>
    </w:p>
    <w:p>
      <w:pPr>
        <w:pStyle w:val="Normal"/>
        <w:spacing w:lineRule="auto" w:line="259" w:before="0" w:after="31"/>
        <w:ind w:hanging="10" w:start="10" w:end="20"/>
        <w:jc w:val="center"/>
        <w:rPr>
          <w:b/>
          <w:sz w:val="32"/>
          <w:szCs w:val="32"/>
        </w:rPr>
      </w:pPr>
      <w:r>
        <w:rPr>
          <w:b/>
          <w:sz w:val="32"/>
          <w:szCs w:val="32"/>
        </w:rPr>
        <w:t>ST 3.  ROBOTY WYKOŃCZENIOWE</w:t>
      </w:r>
    </w:p>
    <w:p>
      <w:pPr>
        <w:pStyle w:val="Normal"/>
        <w:spacing w:lineRule="auto" w:line="259" w:before="0" w:after="0"/>
        <w:ind w:hanging="0" w:start="0" w:end="20"/>
        <w:jc w:val="center"/>
        <w:rPr>
          <w:b/>
          <w:sz w:val="32"/>
          <w:szCs w:val="32"/>
        </w:rPr>
      </w:pPr>
      <w:r>
        <w:rPr>
          <w:b/>
          <w:sz w:val="32"/>
          <w:szCs w:val="32"/>
        </w:rPr>
        <w:t>WEWNĘTRZNE</w:t>
      </w:r>
    </w:p>
    <w:p>
      <w:pPr>
        <w:pStyle w:val="Normal"/>
        <w:spacing w:lineRule="auto" w:line="259" w:before="0" w:after="0"/>
        <w:ind w:hanging="0" w:start="491"/>
        <w:jc w:val="center"/>
        <w:rPr>
          <w:sz w:val="36"/>
        </w:rPr>
      </w:pPr>
      <w:r>
        <w:rPr>
          <w:sz w:val="36"/>
        </w:rPr>
      </w:r>
    </w:p>
    <w:p>
      <w:pPr>
        <w:pStyle w:val="Normal"/>
        <w:spacing w:lineRule="auto" w:line="259" w:before="0" w:after="0"/>
        <w:ind w:hanging="0" w:start="491"/>
        <w:jc w:val="center"/>
        <w:rPr>
          <w:sz w:val="36"/>
        </w:rPr>
      </w:pPr>
      <w:r>
        <w:rPr>
          <w:sz w:val="36"/>
        </w:rPr>
      </w:r>
    </w:p>
    <w:p>
      <w:pPr>
        <w:pStyle w:val="Normal"/>
        <w:spacing w:lineRule="auto" w:line="259" w:before="0" w:after="0"/>
        <w:ind w:hanging="0" w:start="491"/>
        <w:jc w:val="center"/>
        <w:rPr/>
      </w:pPr>
      <w:r>
        <w:rPr>
          <w:sz w:val="36"/>
        </w:rPr>
        <w:t xml:space="preserve"> </w:t>
      </w:r>
    </w:p>
    <w:p>
      <w:pPr>
        <w:pStyle w:val="Normal"/>
        <w:spacing w:lineRule="auto" w:line="259" w:before="0" w:after="0"/>
        <w:ind w:hanging="0" w:start="0" w:end="219"/>
        <w:jc w:val="center"/>
        <w:rPr/>
      </w:pPr>
      <w:r>
        <w:rPr>
          <w:sz w:val="36"/>
        </w:rPr>
        <w:t xml:space="preserve"> </w:t>
      </w:r>
    </w:p>
    <w:p>
      <w:pPr>
        <w:pStyle w:val="Heading1"/>
        <w:ind w:hanging="10" w:start="10" w:end="20"/>
        <w:jc w:val="center"/>
        <w:rPr>
          <w:sz w:val="28"/>
          <w:szCs w:val="28"/>
        </w:rPr>
      </w:pPr>
      <w:r>
        <w:rPr>
          <w:sz w:val="28"/>
          <w:szCs w:val="28"/>
        </w:rPr>
        <w:t>KOD GŁÓWNY CPV 45400000-1</w:t>
      </w:r>
    </w:p>
    <w:p>
      <w:pPr>
        <w:pStyle w:val="Normal"/>
        <w:spacing w:lineRule="auto" w:line="259" w:before="0" w:after="0"/>
        <w:ind w:hanging="0" w:start="0"/>
        <w:jc w:val="start"/>
        <w:rPr/>
      </w:pPr>
      <w:r>
        <w:rPr>
          <w:sz w:val="36"/>
        </w:rPr>
        <w:t xml:space="preserve"> </w:t>
      </w:r>
    </w:p>
    <w:p>
      <w:pPr>
        <w:pStyle w:val="Normal"/>
        <w:spacing w:lineRule="auto" w:line="259" w:before="0" w:after="0"/>
        <w:ind w:hanging="0" w:start="0"/>
        <w:jc w:val="start"/>
        <w:rPr/>
      </w:pPr>
      <w:r>
        <w:rPr>
          <w:sz w:val="36"/>
        </w:rPr>
        <w:t xml:space="preserve"> </w:t>
      </w:r>
      <w:r>
        <w:br w:type="page"/>
      </w:r>
    </w:p>
    <w:p>
      <w:pPr>
        <w:pStyle w:val="Normal"/>
        <w:spacing w:before="0" w:after="13"/>
        <w:ind w:hanging="10" w:start="10" w:end="294"/>
        <w:rPr/>
      </w:pPr>
      <w:r>
        <w:rPr/>
        <w:t xml:space="preserve">1.   Wstęp </w:t>
      </w:r>
    </w:p>
    <w:p>
      <w:pPr>
        <w:pStyle w:val="Normal"/>
        <w:ind w:hanging="0" w:start="284" w:end="294"/>
        <w:rPr/>
      </w:pPr>
      <w:r>
        <w:rPr/>
        <w:t>1.1.</w:t>
        <w:tab/>
        <w:t xml:space="preserve">Przedmiot ST </w:t>
      </w:r>
    </w:p>
    <w:p>
      <w:pPr>
        <w:pStyle w:val="Normal"/>
        <w:ind w:hanging="10" w:start="704" w:end="294"/>
        <w:rPr/>
      </w:pPr>
      <w:r>
        <w:rPr/>
        <w:t xml:space="preserve">Wymagania dotyczące wykonania i odbioru robót wykończeniowych wewnętrznych  </w:t>
      </w:r>
    </w:p>
    <w:p>
      <w:pPr>
        <w:pStyle w:val="Normal"/>
        <w:ind w:hanging="10" w:start="284" w:end="294"/>
        <w:rPr/>
      </w:pPr>
      <w:r>
        <w:rPr/>
        <w:t>1.2.</w:t>
        <w:tab/>
        <w:t xml:space="preserve">Zakres stosowania ST </w:t>
      </w:r>
    </w:p>
    <w:p>
      <w:pPr>
        <w:pStyle w:val="Normal"/>
        <w:ind w:hanging="10" w:start="704" w:end="294"/>
        <w:rPr/>
      </w:pPr>
      <w:r>
        <w:rPr/>
        <w:t xml:space="preserve">ST jest stosowana jako dokument przetargowy i kontraktowy przy zleceniu i realizacji robót  wymienionym w punkcie.  1.1. </w:t>
      </w:r>
    </w:p>
    <w:p>
      <w:pPr>
        <w:pStyle w:val="Normal"/>
        <w:ind w:hanging="10" w:start="284" w:end="294"/>
        <w:rPr/>
      </w:pPr>
      <w:r>
        <w:rPr/>
        <w:t>1.3.</w:t>
        <w:tab/>
        <w:t xml:space="preserve">Zakres robót objętych ST </w:t>
      </w:r>
    </w:p>
    <w:p>
      <w:pPr>
        <w:pStyle w:val="Normal"/>
        <w:tabs>
          <w:tab w:val="clear" w:pos="708"/>
          <w:tab w:val="center" w:pos="4357" w:leader="none"/>
        </w:tabs>
        <w:ind w:hanging="0" w:start="0"/>
        <w:jc w:val="start"/>
        <w:rPr/>
      </w:pPr>
      <w:r>
        <w:rPr/>
        <w:t xml:space="preserve"> </w:t>
      </w:r>
      <w:r>
        <w:rPr/>
        <w:tab/>
        <w:t xml:space="preserve">Ustalenia zawarte w niniejszej ST dotyczą wykonania robót wykończeniowych i obejmują: </w:t>
      </w:r>
    </w:p>
    <w:p>
      <w:pPr>
        <w:pStyle w:val="Normal"/>
        <w:numPr>
          <w:ilvl w:val="0"/>
          <w:numId w:val="1"/>
        </w:numPr>
        <w:ind w:hanging="360" w:start="1054" w:end="294"/>
        <w:rPr/>
      </w:pPr>
      <w:r>
        <w:rPr/>
        <w:t>tynki wewnętrzne: zwykłe cementowo-wapienne, gipsowe ręczne,</w:t>
      </w:r>
    </w:p>
    <w:p>
      <w:pPr>
        <w:pStyle w:val="Normal"/>
        <w:numPr>
          <w:ilvl w:val="0"/>
          <w:numId w:val="1"/>
        </w:numPr>
        <w:ind w:hanging="360" w:start="1054" w:end="294"/>
        <w:rPr/>
      </w:pPr>
      <w:r>
        <w:rPr/>
        <w:t>ścianki działowe: z płyt gips-kartonu na ruszcie metalowym wypełnionych wełną mineralną,</w:t>
      </w:r>
    </w:p>
    <w:p>
      <w:pPr>
        <w:pStyle w:val="Normal"/>
        <w:numPr>
          <w:ilvl w:val="0"/>
          <w:numId w:val="1"/>
        </w:numPr>
        <w:ind w:hanging="360" w:start="1054" w:end="294"/>
        <w:rPr/>
      </w:pPr>
      <w:r>
        <w:rPr/>
        <w:t>roboty malarskie,</w:t>
      </w:r>
    </w:p>
    <w:p>
      <w:pPr>
        <w:pStyle w:val="Normal"/>
        <w:numPr>
          <w:ilvl w:val="0"/>
          <w:numId w:val="1"/>
        </w:numPr>
        <w:ind w:hanging="360" w:start="1054" w:end="294"/>
        <w:rPr/>
      </w:pPr>
      <w:r>
        <w:rPr/>
        <w:t>posadzki z paneli winylowych</w:t>
      </w:r>
    </w:p>
    <w:p>
      <w:pPr>
        <w:pStyle w:val="Normal"/>
        <w:numPr>
          <w:ilvl w:val="0"/>
          <w:numId w:val="1"/>
        </w:numPr>
        <w:ind w:hanging="360" w:start="1054" w:end="294"/>
        <w:rPr/>
      </w:pPr>
      <w:r>
        <w:rPr/>
        <w:t xml:space="preserve">posadzki z płytek ceramicznych, </w:t>
      </w:r>
    </w:p>
    <w:p>
      <w:pPr>
        <w:pStyle w:val="Normal"/>
        <w:numPr>
          <w:ilvl w:val="0"/>
          <w:numId w:val="1"/>
        </w:numPr>
        <w:ind w:hanging="360" w:start="1054" w:end="294"/>
        <w:rPr/>
      </w:pPr>
      <w:r>
        <w:rPr/>
        <w:t>posadzki z wykładzin dywanowych,</w:t>
      </w:r>
    </w:p>
    <w:p>
      <w:pPr>
        <w:pStyle w:val="Normal"/>
        <w:numPr>
          <w:ilvl w:val="0"/>
          <w:numId w:val="1"/>
        </w:numPr>
        <w:ind w:hanging="360" w:start="1054" w:end="294"/>
        <w:rPr/>
      </w:pPr>
      <w:r>
        <w:rPr/>
        <w:t>posadzki z wykładzin  PCV,</w:t>
      </w:r>
    </w:p>
    <w:p>
      <w:pPr>
        <w:pStyle w:val="Normal"/>
        <w:numPr>
          <w:ilvl w:val="0"/>
          <w:numId w:val="1"/>
        </w:numPr>
        <w:ind w:hanging="360" w:start="1054" w:end="294"/>
        <w:rPr/>
      </w:pPr>
      <w:r>
        <w:rPr/>
        <w:t>posadzki z paneli podłogowych,</w:t>
      </w:r>
    </w:p>
    <w:p>
      <w:pPr>
        <w:pStyle w:val="Normal"/>
        <w:numPr>
          <w:ilvl w:val="0"/>
          <w:numId w:val="1"/>
        </w:numPr>
        <w:ind w:hanging="360" w:start="1054" w:end="294"/>
        <w:rPr/>
      </w:pPr>
      <w:r>
        <w:rPr/>
        <w:t>podłoża pod posadzki,</w:t>
      </w:r>
    </w:p>
    <w:p>
      <w:pPr>
        <w:pStyle w:val="Normal"/>
        <w:numPr>
          <w:ilvl w:val="0"/>
          <w:numId w:val="1"/>
        </w:numPr>
        <w:ind w:hanging="360" w:start="1054" w:end="294"/>
        <w:rPr/>
      </w:pPr>
      <w:r>
        <w:rPr/>
        <w:t>stolarka drzwiowa.</w:t>
      </w:r>
    </w:p>
    <w:p>
      <w:pPr>
        <w:pStyle w:val="Normal"/>
        <w:numPr>
          <w:ilvl w:val="0"/>
          <w:numId w:val="0"/>
        </w:numPr>
        <w:ind w:hanging="0" w:start="1054" w:end="294"/>
        <w:rPr/>
      </w:pPr>
      <w:r>
        <w:rPr/>
      </w:r>
    </w:p>
    <w:p>
      <w:pPr>
        <w:pStyle w:val="Normal"/>
        <w:ind w:hanging="10" w:start="284" w:end="294"/>
        <w:rPr/>
      </w:pPr>
      <w:r>
        <w:rPr/>
        <w:t>1.4.</w:t>
        <w:tab/>
        <w:t xml:space="preserve">Określenia podstawowe </w:t>
      </w:r>
    </w:p>
    <w:p>
      <w:pPr>
        <w:pStyle w:val="Normal"/>
        <w:ind w:hanging="10" w:start="704" w:end="294"/>
        <w:rPr/>
      </w:pPr>
      <w:r>
        <w:rPr/>
        <w:t xml:space="preserve">Określenia podane w niniejszej ST są zgodne z obowiązującymi normami aprobatami Technicznymi ITB. </w:t>
      </w:r>
    </w:p>
    <w:p>
      <w:pPr>
        <w:pStyle w:val="Normal"/>
        <w:ind w:hanging="0" w:start="284" w:end="294"/>
        <w:rPr/>
      </w:pPr>
      <w:r>
        <w:rPr/>
        <w:t>1.5.</w:t>
        <w:tab/>
        <w:t xml:space="preserve">Ogólne wymagania dotyczące robót </w:t>
      </w:r>
    </w:p>
    <w:p>
      <w:pPr>
        <w:pStyle w:val="Normal"/>
        <w:ind w:hanging="10" w:start="704" w:end="294"/>
        <w:rPr/>
      </w:pPr>
      <w:r>
        <w:rPr/>
        <w:t xml:space="preserve">Wykonawca robót jest odpowiedzialny za jakość wykonanych robót oraz za ich zgodność z Dokumentacją Projektową oraz zaleceniami Inspektora nadzoru . </w:t>
      </w:r>
    </w:p>
    <w:p>
      <w:pPr>
        <w:pStyle w:val="Normal"/>
        <w:tabs>
          <w:tab w:val="clear" w:pos="708"/>
          <w:tab w:val="center" w:pos="3675" w:leader="none"/>
        </w:tabs>
        <w:ind w:hanging="0" w:start="0"/>
        <w:jc w:val="start"/>
        <w:rPr/>
      </w:pPr>
      <w:r>
        <w:rPr/>
        <w:t xml:space="preserve"> </w:t>
      </w:r>
      <w:r>
        <w:rPr/>
        <w:tab/>
        <w:t xml:space="preserve">Ogólne wymagania dotyczące robót podano w ST1. „Wymagania ogólne” </w:t>
      </w:r>
    </w:p>
    <w:p>
      <w:pPr>
        <w:pStyle w:val="Normal"/>
        <w:ind w:hanging="10" w:start="704" w:end="294"/>
        <w:rPr/>
      </w:pPr>
      <w:r>
        <w:rPr/>
        <w:t xml:space="preserve">Przy realizacji budynków mogą być stosowane wyroby producentów krajowych i zagranicznych posiadające aprobaty techniczne wydane przez odpowiednie Instytuty Badawcze. Wykonawca uzyska przed zastosowaniem wyrobu akceptację Inspektora nadzoru lub Inwestora. </w:t>
      </w:r>
    </w:p>
    <w:p>
      <w:pPr>
        <w:pStyle w:val="Normal"/>
        <w:ind w:hanging="10" w:start="704" w:end="294"/>
        <w:rPr/>
      </w:pPr>
      <w:r>
        <w:rPr/>
      </w:r>
    </w:p>
    <w:p>
      <w:pPr>
        <w:pStyle w:val="Normal"/>
        <w:numPr>
          <w:ilvl w:val="0"/>
          <w:numId w:val="2"/>
        </w:numPr>
        <w:ind w:hanging="284" w:start="284" w:end="294"/>
        <w:rPr/>
      </w:pPr>
      <w:r>
        <w:rPr/>
        <w:t xml:space="preserve">Materiały </w:t>
      </w:r>
    </w:p>
    <w:p>
      <w:pPr>
        <w:pStyle w:val="Normal"/>
        <w:numPr>
          <w:ilvl w:val="1"/>
          <w:numId w:val="2"/>
        </w:numPr>
        <w:ind w:hanging="451" w:start="709" w:end="294"/>
        <w:rPr/>
      </w:pPr>
      <w:r>
        <w:rPr/>
        <w:t xml:space="preserve">Ogólne wymagania dotyczące materiałów </w:t>
      </w:r>
    </w:p>
    <w:p>
      <w:pPr>
        <w:pStyle w:val="Normal"/>
        <w:ind w:hanging="10" w:start="704" w:end="294"/>
        <w:rPr/>
      </w:pPr>
      <w:r>
        <w:rPr/>
        <w:t xml:space="preserve">Ogólne wymagania dotyczące materiałów, ich pozyskania i składowania podano w ST 1. Wymagania ogólne. </w:t>
      </w:r>
    </w:p>
    <w:p>
      <w:pPr>
        <w:pStyle w:val="Normal"/>
        <w:numPr>
          <w:ilvl w:val="1"/>
          <w:numId w:val="2"/>
        </w:numPr>
        <w:ind w:hanging="451" w:start="709" w:end="294"/>
        <w:rPr/>
      </w:pPr>
      <w:r>
        <w:rPr/>
        <w:t xml:space="preserve">Wymagania szczególne dotyczące materiałów </w:t>
      </w:r>
    </w:p>
    <w:p>
      <w:pPr>
        <w:pStyle w:val="Normal"/>
        <w:ind w:hanging="10" w:start="704" w:end="294"/>
        <w:rPr/>
      </w:pPr>
      <w:r>
        <w:rPr/>
        <w:t xml:space="preserve">Mogą być stosowane wyroby producentów krajowych i zagranicznych posiadające aprobaty techniczne wydane przez odpowiednie Instytuty Badawcze. Wykonawca uzyska przed zastosowaniem wyrobu akceptację Inspektora nadzoru. Materiałami stosowanymi przy wykonywaniu robót według zasad niniejszej specyfikacji są: </w:t>
      </w:r>
    </w:p>
    <w:p>
      <w:pPr>
        <w:pStyle w:val="Normal"/>
        <w:tabs>
          <w:tab w:val="clear" w:pos="708"/>
          <w:tab w:val="center" w:pos="1453" w:leader="none"/>
        </w:tabs>
        <w:ind w:hanging="0" w:start="709"/>
        <w:jc w:val="start"/>
        <w:rPr/>
      </w:pPr>
      <w:r>
        <w:rPr/>
        <w:t xml:space="preserve">2.2.1.  </w:t>
        <w:tab/>
        <w:t xml:space="preserve">Tynki wewnętrzne  </w:t>
      </w:r>
    </w:p>
    <w:p>
      <w:pPr>
        <w:pStyle w:val="Normal"/>
        <w:ind w:hanging="10" w:start="1276" w:end="294"/>
        <w:rPr/>
      </w:pPr>
      <w:r>
        <w:rPr/>
        <w:t xml:space="preserve">Przygotowanie zaprawy tynkarskiej powinno być dokonywane ze składników  odpowiadającym Polskim Normom lub Świadectwom ITB. Mieszanka może być wykonywana na budowie lub dostarczana gotowa z wytwórni. </w:t>
      </w:r>
    </w:p>
    <w:p>
      <w:pPr>
        <w:pStyle w:val="Normal"/>
        <w:tabs>
          <w:tab w:val="clear" w:pos="708"/>
          <w:tab w:val="center" w:pos="2514" w:leader="none"/>
        </w:tabs>
        <w:ind w:hanging="0" w:start="1276"/>
        <w:jc w:val="start"/>
        <w:rPr/>
      </w:pPr>
      <w:r>
        <w:rPr/>
        <w:t xml:space="preserve"> </w:t>
      </w:r>
      <w:r>
        <w:rPr/>
        <w:tab/>
      </w:r>
    </w:p>
    <w:p>
      <w:pPr>
        <w:pStyle w:val="Normal"/>
        <w:tabs>
          <w:tab w:val="clear" w:pos="708"/>
          <w:tab w:val="center" w:pos="2514" w:leader="none"/>
        </w:tabs>
        <w:ind w:hanging="0" w:start="1276"/>
        <w:jc w:val="start"/>
        <w:rPr/>
      </w:pPr>
      <w:r>
        <w:rPr/>
        <w:t xml:space="preserve">Cement portlandzki EN 197-1 CEM I 32,5N </w:t>
      </w:r>
    </w:p>
    <w:p>
      <w:pPr>
        <w:pStyle w:val="Heading2"/>
        <w:tabs>
          <w:tab w:val="clear" w:pos="708"/>
          <w:tab w:val="center" w:pos="1415" w:leader="none"/>
        </w:tabs>
        <w:ind w:hanging="0" w:start="1276"/>
        <w:rPr/>
      </w:pPr>
      <w:r>
        <w:rPr>
          <w:u w:val="none"/>
        </w:rPr>
        <w:tab/>
      </w:r>
      <w:r>
        <w:rPr/>
        <w:t>Warunki dostawy</w:t>
      </w:r>
      <w:r>
        <w:rPr>
          <w:u w:val="none"/>
        </w:rPr>
        <w:t xml:space="preserve">  </w:t>
      </w:r>
    </w:p>
    <w:p>
      <w:pPr>
        <w:pStyle w:val="Normal"/>
        <w:ind w:hanging="0" w:start="1266" w:end="1084"/>
        <w:rPr/>
      </w:pPr>
      <w:r>
        <w:rPr/>
        <w:t xml:space="preserve">Pochodzenie cementu i jego jakości określona atestem musi być zatwierdzona przez  Inspektor nadzoru . </w:t>
      </w:r>
    </w:p>
    <w:p>
      <w:pPr>
        <w:pStyle w:val="Heading2"/>
        <w:tabs>
          <w:tab w:val="clear" w:pos="708"/>
          <w:tab w:val="center" w:pos="1672" w:leader="none"/>
        </w:tabs>
        <w:ind w:hanging="0" w:start="1276"/>
        <w:rPr/>
      </w:pPr>
      <w:r>
        <w:rPr/>
        <w:t>Transport i składowanie</w:t>
      </w:r>
      <w:r>
        <w:rPr>
          <w:u w:val="none"/>
        </w:rPr>
        <w:t xml:space="preserve">  </w:t>
      </w:r>
    </w:p>
    <w:p>
      <w:pPr>
        <w:pStyle w:val="Normal"/>
        <w:ind w:hanging="10" w:start="1276" w:end="294"/>
        <w:rPr/>
      </w:pPr>
      <w:r>
        <w:rPr/>
        <w:t xml:space="preserve">Przewóz cementu powinien odbywać się dostosowanymi do tego celu środkami transportu </w:t>
        <w:br/>
        <w:t xml:space="preserve">w warunkach zabezpieczających go przed opadami atmosferycznymi, zawilgoceniem, uszkodzeniem opakowania i zanieczyszczeniem. Cement przechowywany może być </w:t>
        <w:br/>
        <w:t xml:space="preserve">w następujących miejscach: </w:t>
      </w:r>
    </w:p>
    <w:p>
      <w:pPr>
        <w:pStyle w:val="Normal"/>
        <w:numPr>
          <w:ilvl w:val="0"/>
          <w:numId w:val="3"/>
        </w:numPr>
        <w:ind w:hanging="360" w:start="1701" w:end="294"/>
        <w:rPr/>
      </w:pPr>
      <w:r>
        <w:rPr/>
        <w:t xml:space="preserve">cement luzem w magazynach specjalnych – silosach </w:t>
      </w:r>
    </w:p>
    <w:p>
      <w:pPr>
        <w:pStyle w:val="Normal"/>
        <w:numPr>
          <w:ilvl w:val="0"/>
          <w:numId w:val="3"/>
        </w:numPr>
        <w:ind w:hanging="360" w:start="1701" w:end="294"/>
        <w:rPr/>
      </w:pPr>
      <w:r>
        <w:rPr/>
        <w:t xml:space="preserve">cement workowany w składach otwartych zabezpieczonych przed opadami        atmosferycznymi lub w magazynach zamkniętych, </w:t>
      </w:r>
    </w:p>
    <w:p>
      <w:pPr>
        <w:pStyle w:val="Normal"/>
        <w:ind w:hanging="0" w:start="1341" w:end="294"/>
        <w:rPr/>
      </w:pPr>
      <w:r>
        <w:rPr/>
        <w:t xml:space="preserve">Inne warunki transportu i składowania odpowiadać muszą postanowieniom normy BN-88/B-6731-08.  </w:t>
      </w:r>
      <w:r>
        <w:rPr>
          <w:i/>
        </w:rPr>
        <w:t xml:space="preserve">   </w:t>
      </w:r>
      <w:r>
        <w:rPr/>
        <w:t xml:space="preserve"> </w:t>
        <w:tab/>
      </w:r>
    </w:p>
    <w:p>
      <w:pPr>
        <w:pStyle w:val="Normal"/>
        <w:ind w:hanging="0" w:start="1341" w:end="294"/>
        <w:rPr/>
      </w:pPr>
      <w:r>
        <w:rPr>
          <w:u w:val="single" w:color="000000"/>
        </w:rPr>
        <w:t>Kontrola jakości</w:t>
      </w:r>
      <w:r>
        <w:rPr/>
        <w:t xml:space="preserve"> </w:t>
      </w:r>
    </w:p>
    <w:p>
      <w:pPr>
        <w:pStyle w:val="Normal"/>
        <w:ind w:hanging="0" w:start="1276" w:end="294"/>
        <w:rPr/>
      </w:pPr>
      <w:r>
        <w:rPr/>
        <w:t xml:space="preserve">Wykonawca zobowiązany jest do oceny jakości dostarczonego przez producenta cementu i jego zgodności z wymaganiami ST na podstawie: </w:t>
      </w:r>
    </w:p>
    <w:p>
      <w:pPr>
        <w:pStyle w:val="Normal"/>
        <w:numPr>
          <w:ilvl w:val="0"/>
          <w:numId w:val="3"/>
        </w:numPr>
        <w:ind w:hanging="360" w:start="1701" w:end="294"/>
        <w:rPr/>
      </w:pPr>
      <w:r>
        <w:rPr/>
        <w:t xml:space="preserve">dokumentów producenta dotyczących kontroli jakości wg normy PN-B-04320 </w:t>
      </w:r>
    </w:p>
    <w:p>
      <w:pPr>
        <w:pStyle w:val="Normal"/>
        <w:numPr>
          <w:ilvl w:val="0"/>
          <w:numId w:val="3"/>
        </w:numPr>
        <w:ind w:hanging="360" w:start="1701" w:end="294"/>
        <w:rPr/>
      </w:pPr>
      <w:r>
        <w:rPr/>
        <w:t xml:space="preserve">dokumentów przewozowych, </w:t>
      </w:r>
    </w:p>
    <w:p>
      <w:pPr>
        <w:pStyle w:val="Normal"/>
        <w:numPr>
          <w:ilvl w:val="0"/>
          <w:numId w:val="3"/>
        </w:numPr>
        <w:ind w:hanging="360" w:start="1701" w:end="294"/>
        <w:rPr/>
      </w:pPr>
      <w:r>
        <w:rPr/>
        <w:t xml:space="preserve">oględzin makroskopowych cementu dostarczonego na miejsce przeznaczenia oraz ewentualnych opakowań z przewidzianymi normą napisami, </w:t>
      </w:r>
    </w:p>
    <w:p>
      <w:pPr>
        <w:pStyle w:val="Normal"/>
        <w:numPr>
          <w:ilvl w:val="0"/>
          <w:numId w:val="3"/>
        </w:numPr>
        <w:spacing w:lineRule="auto" w:line="271" w:before="0" w:after="11"/>
        <w:ind w:hanging="360" w:start="1701" w:end="294"/>
        <w:rPr/>
      </w:pPr>
      <w:r>
        <w:rPr/>
        <w:t xml:space="preserve">dodatkowych </w:t>
        <w:tab/>
        <w:t xml:space="preserve">badań laboratoryjnych wg norm: PN-EN-196-2;1996 i PN-EN-196-1        wykonanych na koszt Wykonawcy w przypadku zgłoszenia przez Inspektor nadzoru wątpliwości co do jakości cementu. </w:t>
      </w:r>
    </w:p>
    <w:p>
      <w:pPr>
        <w:pStyle w:val="Normal"/>
        <w:tabs>
          <w:tab w:val="clear" w:pos="708"/>
          <w:tab w:val="center" w:pos="3226" w:leader="none"/>
        </w:tabs>
        <w:ind w:hanging="0" w:start="1341"/>
        <w:jc w:val="start"/>
        <w:rPr/>
      </w:pPr>
      <w:r>
        <w:rPr/>
        <w:tab/>
        <w:t xml:space="preserve">Cement powinien odpowiadać wymaganiom wg PN-EN-197-1 </w:t>
      </w:r>
    </w:p>
    <w:p>
      <w:pPr>
        <w:pStyle w:val="Normal"/>
        <w:tabs>
          <w:tab w:val="clear" w:pos="708"/>
          <w:tab w:val="center" w:pos="1908" w:leader="none"/>
        </w:tabs>
        <w:ind w:hanging="0" w:start="1276"/>
        <w:jc w:val="start"/>
        <w:rPr/>
      </w:pPr>
      <w:r>
        <w:rPr/>
        <w:t xml:space="preserve"> </w:t>
      </w:r>
      <w:r>
        <w:rPr/>
        <w:tab/>
      </w:r>
    </w:p>
    <w:p>
      <w:pPr>
        <w:pStyle w:val="Normal"/>
        <w:tabs>
          <w:tab w:val="clear" w:pos="708"/>
          <w:tab w:val="center" w:pos="1908" w:leader="none"/>
        </w:tabs>
        <w:ind w:hanging="0" w:start="1276"/>
        <w:jc w:val="start"/>
        <w:rPr/>
      </w:pPr>
      <w:r>
        <w:rPr/>
        <w:t xml:space="preserve">Wapno wg PN-B-30020:1999 </w:t>
      </w:r>
    </w:p>
    <w:p>
      <w:pPr>
        <w:pStyle w:val="Heading2"/>
        <w:tabs>
          <w:tab w:val="clear" w:pos="708"/>
          <w:tab w:val="center" w:pos="1415" w:leader="none"/>
        </w:tabs>
        <w:ind w:hanging="0" w:start="1276"/>
        <w:rPr/>
      </w:pPr>
      <w:r>
        <w:rPr>
          <w:i/>
          <w:u w:val="none"/>
        </w:rPr>
        <w:t xml:space="preserve"> </w:t>
      </w:r>
      <w:r>
        <w:rPr/>
        <w:t>Warunki dostawy</w:t>
      </w:r>
      <w:r>
        <w:rPr>
          <w:u w:val="none"/>
        </w:rPr>
        <w:t xml:space="preserve"> </w:t>
      </w:r>
    </w:p>
    <w:p>
      <w:pPr>
        <w:pStyle w:val="Normal"/>
        <w:ind w:hanging="10" w:start="1276" w:end="294"/>
        <w:rPr/>
      </w:pPr>
      <w:r>
        <w:rPr/>
        <w:t xml:space="preserve">Wapno budowlane powinno być ładowane do czystych zbiorników transportowych, wolnych od pozostałości z poprzednich dostaw. </w:t>
      </w:r>
    </w:p>
    <w:p>
      <w:pPr>
        <w:pStyle w:val="Heading2"/>
        <w:tabs>
          <w:tab w:val="clear" w:pos="708"/>
          <w:tab w:val="center" w:pos="1672" w:leader="none"/>
        </w:tabs>
        <w:ind w:hanging="0" w:start="1276"/>
        <w:rPr/>
      </w:pPr>
      <w:r>
        <w:rPr>
          <w:i/>
          <w:u w:val="none"/>
        </w:rPr>
        <w:t xml:space="preserve"> </w:t>
      </w:r>
      <w:r>
        <w:rPr/>
        <w:t>Transport i składowanie</w:t>
      </w:r>
      <w:r>
        <w:rPr>
          <w:u w:val="none"/>
        </w:rPr>
        <w:t xml:space="preserve"> </w:t>
      </w:r>
    </w:p>
    <w:p>
      <w:pPr>
        <w:pStyle w:val="Normal"/>
        <w:ind w:hanging="10" w:start="1276" w:end="294"/>
        <w:rPr/>
      </w:pPr>
      <w:r>
        <w:rPr/>
        <w:t xml:space="preserve">Transport wapna budowlanego niegaszonego w bryłach i mielonego powinien odbywać się </w:t>
        <w:br/>
        <w:t xml:space="preserve">w warunkach zabezpieczających przed opadami atmosferycznymi, zawilgoceniem, zanieczyszczeniem i uszkodzeniem opakowania. Ciasto wapienne należy przewozić </w:t>
        <w:br/>
        <w:t xml:space="preserve">w pojemnikach szczelnych i zabezpieczonych przed zanieczyszczeniem. </w:t>
      </w:r>
    </w:p>
    <w:p>
      <w:pPr>
        <w:pStyle w:val="Normal"/>
        <w:ind w:hanging="10" w:start="1276" w:end="294"/>
        <w:rPr/>
      </w:pPr>
      <w:r>
        <w:rPr/>
        <w:t xml:space="preserve">Wapno budowlane nie gaszone powinno być przechowywane warunkach zabezpieczających przed zawilgoceniem i zanieczyszczeniem. Ciasto wapienne należy przechowywać u odbiorcy </w:t>
        <w:br/>
        <w:t xml:space="preserve">w warunkach zabezpieczających je przed zanieczyszczeniem, przemarznięciem, wysuszeniem </w:t>
        <w:br/>
        <w:t xml:space="preserve">i nadmiernym zawilgoceniem. Zaleca się przechowywanie ciasta wapiennego w dołach ziemnych o zabezpieczonych ściankach i dnie. Dno dołu powinno być umieszczone powyżej poziomu wody gruntowej, w miejscu wolnym od dopływu zanieczyszczeń. </w:t>
      </w:r>
    </w:p>
    <w:p>
      <w:pPr>
        <w:pStyle w:val="Heading2"/>
        <w:tabs>
          <w:tab w:val="clear" w:pos="708"/>
          <w:tab w:val="center" w:pos="1372" w:leader="none"/>
        </w:tabs>
        <w:ind w:hanging="0" w:start="1276"/>
        <w:rPr/>
      </w:pPr>
      <w:r>
        <w:rPr>
          <w:i/>
          <w:u w:val="none"/>
        </w:rPr>
        <w:tab/>
      </w:r>
      <w:r>
        <w:rPr/>
        <w:t>Kontrola jakości</w:t>
      </w:r>
      <w:r>
        <w:rPr>
          <w:u w:val="none"/>
        </w:rPr>
        <w:t xml:space="preserve"> </w:t>
      </w:r>
    </w:p>
    <w:p>
      <w:pPr>
        <w:pStyle w:val="Normal"/>
        <w:ind w:hanging="10" w:start="1276" w:end="294"/>
        <w:rPr/>
      </w:pPr>
      <w:r>
        <w:rPr/>
        <w:t xml:space="preserve">Należy sprawdzić na opakowaniu nazwę symbole rodzaju, odmiany lub klasy wapna budowlanego oraz termin trwałości wapna. Pochodzenie wapna i jego jakość określona w pełnej charakterystyce technicznej wykonanej przez producenta podlega zatwierdzeniu przez Inspektor nadzoru. </w:t>
      </w:r>
    </w:p>
    <w:p>
      <w:pPr>
        <w:pStyle w:val="Normal"/>
        <w:tabs>
          <w:tab w:val="clear" w:pos="708"/>
          <w:tab w:val="center" w:pos="1780" w:leader="none"/>
        </w:tabs>
        <w:ind w:hanging="0" w:start="1276"/>
        <w:jc w:val="start"/>
        <w:rPr/>
      </w:pPr>
      <w:r>
        <w:rPr/>
      </w:r>
    </w:p>
    <w:p>
      <w:pPr>
        <w:pStyle w:val="Normal"/>
        <w:tabs>
          <w:tab w:val="clear" w:pos="708"/>
          <w:tab w:val="center" w:pos="1780" w:leader="none"/>
        </w:tabs>
        <w:ind w:hanging="0" w:start="1276"/>
        <w:jc w:val="start"/>
        <w:rPr/>
      </w:pPr>
      <w:r>
        <w:rPr/>
        <w:tab/>
        <w:t xml:space="preserve">Piasek wg PN-79/B-06711 </w:t>
      </w:r>
    </w:p>
    <w:p>
      <w:pPr>
        <w:pStyle w:val="Heading2"/>
        <w:tabs>
          <w:tab w:val="clear" w:pos="708"/>
          <w:tab w:val="center" w:pos="1415" w:leader="none"/>
        </w:tabs>
        <w:ind w:hanging="0" w:start="1276"/>
        <w:rPr/>
      </w:pPr>
      <w:r>
        <w:rPr/>
        <w:t>Warunki dostawy</w:t>
      </w:r>
      <w:r>
        <w:rPr>
          <w:u w:val="none"/>
        </w:rPr>
        <w:t xml:space="preserve"> </w:t>
      </w:r>
    </w:p>
    <w:p>
      <w:pPr>
        <w:pStyle w:val="Normal"/>
        <w:ind w:hanging="10" w:start="1276" w:end="294"/>
        <w:rPr/>
      </w:pPr>
      <w:r>
        <w:rPr/>
        <w:t xml:space="preserve">Pochodzenie piasku i jego jakość określona w pełnej charakterystyce technicznej wykonanej przez producenta podlega zatwierdzeniu przez Inżyniera. </w:t>
      </w:r>
    </w:p>
    <w:p>
      <w:pPr>
        <w:pStyle w:val="Heading2"/>
        <w:tabs>
          <w:tab w:val="clear" w:pos="708"/>
          <w:tab w:val="center" w:pos="1672" w:leader="none"/>
        </w:tabs>
        <w:ind w:hanging="0" w:start="1276"/>
        <w:rPr/>
      </w:pPr>
      <w:r>
        <w:rPr/>
        <w:t>Transport i składowanie</w:t>
      </w:r>
      <w:r>
        <w:rPr>
          <w:u w:val="none"/>
        </w:rPr>
        <w:t xml:space="preserve"> </w:t>
      </w:r>
    </w:p>
    <w:p>
      <w:pPr>
        <w:pStyle w:val="Normal"/>
        <w:spacing w:lineRule="auto" w:line="271" w:before="0" w:after="11"/>
        <w:ind w:hanging="10" w:start="1276" w:end="68"/>
        <w:rPr/>
      </w:pPr>
      <w:r>
        <w:rPr/>
        <w:t xml:space="preserve">Piasek należy przewozić w warunkach zabezpieczających przed rozsypaniem, rozpylaniem, zanieczyszczeniem oraz zmieszaniem z innymi kruszywami np. innych klas, gatunków. W/w zasady należy przestrzegać przy załadunku i wyładunku. </w:t>
      </w:r>
    </w:p>
    <w:p>
      <w:pPr>
        <w:pStyle w:val="Heading2"/>
        <w:tabs>
          <w:tab w:val="clear" w:pos="708"/>
          <w:tab w:val="center" w:pos="1372" w:leader="none"/>
        </w:tabs>
        <w:ind w:hanging="0" w:start="1276"/>
        <w:rPr/>
      </w:pPr>
      <w:r>
        <w:rPr>
          <w:i/>
          <w:u w:val="none"/>
        </w:rPr>
        <w:tab/>
      </w:r>
      <w:r>
        <w:rPr/>
        <w:t>Kontrola jakości</w:t>
      </w:r>
      <w:r>
        <w:rPr>
          <w:u w:val="none"/>
        </w:rPr>
        <w:t xml:space="preserve"> </w:t>
      </w:r>
    </w:p>
    <w:p>
      <w:pPr>
        <w:pStyle w:val="Normal"/>
        <w:tabs>
          <w:tab w:val="clear" w:pos="708"/>
          <w:tab w:val="center" w:pos="3805" w:leader="none"/>
        </w:tabs>
        <w:ind w:hanging="0" w:start="1276"/>
        <w:jc w:val="start"/>
        <w:rPr/>
      </w:pPr>
      <w:r>
        <w:rPr/>
        <w:t xml:space="preserve">Wykonawca odpowiedzialny jest za jakość materiałów użytych do produkcji. </w:t>
      </w:r>
    </w:p>
    <w:p>
      <w:pPr>
        <w:pStyle w:val="Normal"/>
        <w:ind w:hanging="10" w:start="1276" w:end="294"/>
        <w:rPr/>
      </w:pPr>
      <w:r>
        <w:rPr/>
        <w:t xml:space="preserve">Wykonawca zobowiązany jest do oceny jakości kruszywa dostarczonego przez producenta  i jego zgodności z wymaganiami ST na podstawie: </w:t>
      </w:r>
    </w:p>
    <w:p>
      <w:pPr>
        <w:pStyle w:val="Normal"/>
        <w:numPr>
          <w:ilvl w:val="0"/>
          <w:numId w:val="4"/>
        </w:numPr>
        <w:ind w:hanging="360" w:start="1701" w:end="294"/>
        <w:rPr/>
      </w:pPr>
      <w:r>
        <w:rPr/>
        <w:t xml:space="preserve">rezultatów badań pełnych wykonanych przez producenta co najmniej raz w roku i przy każdej zmianie złoża oraz na każde życzenie Inspektor nadzoru, </w:t>
      </w:r>
    </w:p>
    <w:p>
      <w:pPr>
        <w:pStyle w:val="Normal"/>
        <w:numPr>
          <w:ilvl w:val="0"/>
          <w:numId w:val="4"/>
        </w:numPr>
        <w:ind w:hanging="360" w:start="1701" w:end="294"/>
        <w:rPr/>
      </w:pPr>
      <w:r>
        <w:rPr/>
        <w:t xml:space="preserve">rezultatów badań niepełnych wykonanych dla partii </w:t>
      </w:r>
    </w:p>
    <w:p>
      <w:pPr>
        <w:pStyle w:val="Normal"/>
        <w:numPr>
          <w:ilvl w:val="0"/>
          <w:numId w:val="4"/>
        </w:numPr>
        <w:ind w:hanging="360" w:start="1701" w:end="294"/>
        <w:rPr/>
      </w:pPr>
      <w:r>
        <w:rPr/>
        <w:t xml:space="preserve">oceny wizualnej każdej dostawy, </w:t>
      </w:r>
    </w:p>
    <w:p>
      <w:pPr>
        <w:pStyle w:val="Normal"/>
        <w:numPr>
          <w:ilvl w:val="0"/>
          <w:numId w:val="4"/>
        </w:numPr>
        <w:ind w:hanging="360" w:start="1701" w:end="294"/>
        <w:rPr/>
      </w:pPr>
      <w:r>
        <w:rPr/>
        <w:t xml:space="preserve">dodatkowych badań wykonanych na koszt Wykonawcy w przypadku zgłoszenia przez Inspektor nadzoru wątpliwości co do jakości piasku. </w:t>
      </w:r>
    </w:p>
    <w:p>
      <w:pPr>
        <w:pStyle w:val="Normal"/>
        <w:ind w:hanging="10" w:start="1701" w:end="294"/>
        <w:rPr/>
      </w:pPr>
      <w:r>
        <w:rPr/>
        <w:t xml:space="preserve">Przed użyciem piasku do wykonania zaprawy Wykonawca musi wykonać kontrolę partii kruszywa obejmującą oznaczenie: </w:t>
      </w:r>
    </w:p>
    <w:p>
      <w:pPr>
        <w:pStyle w:val="Normal"/>
        <w:numPr>
          <w:ilvl w:val="0"/>
          <w:numId w:val="4"/>
        </w:numPr>
        <w:ind w:hanging="360" w:start="1701" w:end="294"/>
        <w:rPr/>
      </w:pPr>
      <w:r>
        <w:rPr/>
        <w:t xml:space="preserve">składu ziarnowego wg PN-91/B-06714.15 </w:t>
      </w:r>
    </w:p>
    <w:p>
      <w:pPr>
        <w:pStyle w:val="Normal"/>
        <w:numPr>
          <w:ilvl w:val="0"/>
          <w:numId w:val="4"/>
        </w:numPr>
        <w:ind w:hanging="360" w:start="1701" w:end="294"/>
        <w:rPr/>
      </w:pPr>
      <w:r>
        <w:rPr/>
        <w:t xml:space="preserve">zawartości pyłów mineralnych wg PN-78/B-06714.13 </w:t>
      </w:r>
    </w:p>
    <w:p>
      <w:pPr>
        <w:pStyle w:val="Normal"/>
        <w:numPr>
          <w:ilvl w:val="0"/>
          <w:numId w:val="4"/>
        </w:numPr>
        <w:ind w:hanging="360" w:start="1701" w:end="294"/>
        <w:rPr/>
      </w:pPr>
      <w:r>
        <w:rPr/>
        <w:t xml:space="preserve">zawartości zanieczyszczeń obcych wg PN-76/B-06714.12 </w:t>
      </w:r>
    </w:p>
    <w:p>
      <w:pPr>
        <w:pStyle w:val="Normal"/>
        <w:tabs>
          <w:tab w:val="clear" w:pos="708"/>
          <w:tab w:val="center" w:pos="1758" w:leader="none"/>
        </w:tabs>
        <w:ind w:hanging="0" w:start="1276"/>
        <w:jc w:val="start"/>
        <w:rPr/>
      </w:pPr>
      <w:r>
        <w:rPr/>
      </w:r>
    </w:p>
    <w:p>
      <w:pPr>
        <w:pStyle w:val="Normal"/>
        <w:tabs>
          <w:tab w:val="clear" w:pos="708"/>
          <w:tab w:val="center" w:pos="1758" w:leader="none"/>
        </w:tabs>
        <w:ind w:hanging="0" w:start="1276"/>
        <w:jc w:val="start"/>
        <w:rPr/>
      </w:pPr>
      <w:r>
        <w:rPr/>
        <w:t xml:space="preserve"> </w:t>
      </w:r>
      <w:r>
        <w:rPr/>
        <w:tab/>
        <w:t xml:space="preserve">Woda wg PN-88/B-32250 </w:t>
      </w:r>
    </w:p>
    <w:p>
      <w:pPr>
        <w:pStyle w:val="Normal"/>
        <w:tabs>
          <w:tab w:val="clear" w:pos="708"/>
          <w:tab w:val="center" w:pos="1673" w:leader="none"/>
        </w:tabs>
        <w:spacing w:lineRule="auto" w:line="269" w:before="0" w:after="16"/>
        <w:ind w:hanging="0" w:start="1276"/>
        <w:jc w:val="start"/>
        <w:rPr/>
      </w:pPr>
      <w:r>
        <w:rPr>
          <w:i/>
        </w:rPr>
        <w:t xml:space="preserve"> </w:t>
      </w:r>
      <w:r>
        <w:rPr>
          <w:i/>
        </w:rPr>
        <w:tab/>
      </w:r>
      <w:r>
        <w:rPr>
          <w:u w:val="single" w:color="000000"/>
        </w:rPr>
        <w:t>Transport i składowanie</w:t>
      </w:r>
      <w:r>
        <w:rPr/>
        <w:t xml:space="preserve"> </w:t>
      </w:r>
    </w:p>
    <w:p>
      <w:pPr>
        <w:pStyle w:val="Normal"/>
        <w:tabs>
          <w:tab w:val="clear" w:pos="708"/>
          <w:tab w:val="center" w:pos="1715" w:leader="none"/>
        </w:tabs>
        <w:ind w:hanging="0" w:start="1276"/>
        <w:jc w:val="start"/>
        <w:rPr/>
      </w:pPr>
      <w:r>
        <w:rPr/>
        <w:t xml:space="preserve"> </w:t>
      </w:r>
      <w:r>
        <w:rPr/>
        <w:tab/>
        <w:t xml:space="preserve">Nie określa się wymagań  </w:t>
      </w:r>
    </w:p>
    <w:p>
      <w:pPr>
        <w:pStyle w:val="Heading2"/>
        <w:tabs>
          <w:tab w:val="clear" w:pos="708"/>
          <w:tab w:val="center" w:pos="1372" w:leader="none"/>
        </w:tabs>
        <w:ind w:hanging="0" w:start="1276"/>
        <w:rPr/>
      </w:pPr>
      <w:r>
        <w:rPr>
          <w:u w:val="none"/>
        </w:rPr>
        <w:t xml:space="preserve"> </w:t>
      </w:r>
      <w:r>
        <w:rPr>
          <w:u w:val="none"/>
        </w:rPr>
        <w:tab/>
      </w:r>
      <w:r>
        <w:rPr/>
        <w:t>Kontrola jakości</w:t>
      </w:r>
      <w:r>
        <w:rPr>
          <w:u w:val="none"/>
        </w:rPr>
        <w:t xml:space="preserve"> </w:t>
      </w:r>
    </w:p>
    <w:p>
      <w:pPr>
        <w:pStyle w:val="Normal"/>
        <w:tabs>
          <w:tab w:val="clear" w:pos="708"/>
          <w:tab w:val="center" w:pos="2254" w:leader="none"/>
        </w:tabs>
        <w:ind w:hanging="0" w:start="1276"/>
        <w:jc w:val="start"/>
        <w:rPr/>
      </w:pPr>
      <w:r>
        <w:rPr/>
        <w:t xml:space="preserve"> </w:t>
      </w:r>
      <w:r>
        <w:rPr/>
        <w:tab/>
        <w:t xml:space="preserve">Woda z wodociągu nie wymaga badań </w:t>
      </w:r>
    </w:p>
    <w:p>
      <w:pPr>
        <w:pStyle w:val="Normal"/>
        <w:tabs>
          <w:tab w:val="clear" w:pos="708"/>
          <w:tab w:val="center" w:pos="2099" w:leader="none"/>
        </w:tabs>
        <w:ind w:hanging="0" w:start="1276"/>
        <w:jc w:val="start"/>
        <w:rPr/>
      </w:pPr>
      <w:r>
        <w:rPr/>
      </w:r>
    </w:p>
    <w:p>
      <w:pPr>
        <w:pStyle w:val="Normal"/>
        <w:tabs>
          <w:tab w:val="clear" w:pos="708"/>
          <w:tab w:val="center" w:pos="2099" w:leader="none"/>
        </w:tabs>
        <w:ind w:hanging="0" w:start="1276"/>
        <w:jc w:val="start"/>
        <w:rPr/>
      </w:pPr>
      <w:r>
        <w:rPr/>
        <w:tab/>
        <w:t xml:space="preserve">Gips tynkarski wg BN-80/6733-09 </w:t>
      </w:r>
    </w:p>
    <w:p>
      <w:pPr>
        <w:pStyle w:val="Normal"/>
        <w:ind w:hanging="10" w:start="1276" w:end="294"/>
        <w:rPr/>
      </w:pPr>
      <w:r>
        <w:rPr/>
        <w:t xml:space="preserve">Tynki z gipsu tynkarskiego powinny być wykonane z suchej mieszanki, stanowiącej mieszaninę gipsu budowlanego i estrichgipsu oraz środków modyfikujących tę mieszankę w celu utrzymania wody przez zaprawę gipsową. </w:t>
      </w:r>
    </w:p>
    <w:p>
      <w:pPr>
        <w:pStyle w:val="Heading2"/>
        <w:tabs>
          <w:tab w:val="clear" w:pos="708"/>
          <w:tab w:val="center" w:pos="1415" w:leader="none"/>
        </w:tabs>
        <w:ind w:hanging="0" w:start="1276"/>
        <w:rPr/>
      </w:pPr>
      <w:r>
        <w:rPr>
          <w:u w:val="none"/>
        </w:rPr>
        <w:tab/>
      </w:r>
      <w:r>
        <w:rPr/>
        <w:t>Warunki dostawy</w:t>
      </w:r>
      <w:r>
        <w:rPr>
          <w:u w:val="none"/>
        </w:rPr>
        <w:t xml:space="preserve">  </w:t>
      </w:r>
    </w:p>
    <w:p>
      <w:pPr>
        <w:pStyle w:val="Normal"/>
        <w:ind w:hanging="10" w:start="1276" w:end="294"/>
        <w:rPr/>
      </w:pPr>
      <w:r>
        <w:rPr/>
        <w:t xml:space="preserve"> </w:t>
      </w:r>
      <w:r>
        <w:rPr/>
        <w:t xml:space="preserve">Pochodzenie gipsu maszynowego i jego jakości określona atestem musi być zatwierdzona przez Inspektora nadzoru . </w:t>
      </w:r>
    </w:p>
    <w:p>
      <w:pPr>
        <w:pStyle w:val="Heading2"/>
        <w:tabs>
          <w:tab w:val="clear" w:pos="708"/>
          <w:tab w:val="center" w:pos="1672" w:leader="none"/>
        </w:tabs>
        <w:ind w:hanging="0" w:start="1276"/>
        <w:rPr/>
      </w:pPr>
      <w:r>
        <w:rPr/>
        <w:t>Transport i składowanie</w:t>
      </w:r>
      <w:r>
        <w:rPr>
          <w:u w:val="none"/>
        </w:rPr>
        <w:t xml:space="preserve">  </w:t>
      </w:r>
    </w:p>
    <w:p>
      <w:pPr>
        <w:pStyle w:val="Normal"/>
        <w:ind w:hanging="10" w:start="1276" w:end="294"/>
        <w:rPr/>
      </w:pPr>
      <w:r>
        <w:rPr/>
        <w:t xml:space="preserve">Przewóz gipsu powinien odbywać się dostosowanymi do ego celu środkami transportu w warunkach zabezpieczających go przed opadami atmosferycznymi, zawilgoceniem, uszkodzeniem opakowania i zanieczyszczeniem. Gips powinien  być przechowywany w workach w składach zamkniętych zabezpieczonych przed wpływami wilgoci. </w:t>
      </w:r>
    </w:p>
    <w:p>
      <w:pPr>
        <w:pStyle w:val="Heading2"/>
        <w:tabs>
          <w:tab w:val="clear" w:pos="708"/>
          <w:tab w:val="center" w:pos="1372" w:leader="none"/>
        </w:tabs>
        <w:ind w:hanging="0" w:start="1276"/>
        <w:rPr/>
      </w:pPr>
      <w:r>
        <w:rPr/>
        <w:t>Kontrola jakości</w:t>
      </w:r>
      <w:r>
        <w:rPr>
          <w:u w:val="none"/>
        </w:rPr>
        <w:t xml:space="preserve"> </w:t>
      </w:r>
    </w:p>
    <w:p>
      <w:pPr>
        <w:pStyle w:val="Normal"/>
        <w:ind w:hanging="10" w:start="1276" w:end="294"/>
        <w:rPr/>
      </w:pPr>
      <w:r>
        <w:rPr/>
        <w:t xml:space="preserve">Wykonawca zobowiązany jest do oceny jakości dostarczonego przez producenta gipsu i jego zgodności z wymaganiami ST na podstawie: </w:t>
      </w:r>
    </w:p>
    <w:p>
      <w:pPr>
        <w:pStyle w:val="Normal"/>
        <w:numPr>
          <w:ilvl w:val="0"/>
          <w:numId w:val="5"/>
        </w:numPr>
        <w:ind w:hanging="360" w:start="1701" w:end="294"/>
        <w:rPr/>
      </w:pPr>
      <w:r>
        <w:rPr/>
        <w:t xml:space="preserve">dokumentów producenta dotyczących kontroli jakości </w:t>
      </w:r>
    </w:p>
    <w:p>
      <w:pPr>
        <w:pStyle w:val="Normal"/>
        <w:numPr>
          <w:ilvl w:val="0"/>
          <w:numId w:val="5"/>
        </w:numPr>
        <w:ind w:hanging="360" w:start="1701" w:end="294"/>
        <w:rPr/>
      </w:pPr>
      <w:r>
        <w:rPr/>
        <w:t xml:space="preserve">dokumentów przewozowych, </w:t>
      </w:r>
    </w:p>
    <w:p>
      <w:pPr>
        <w:pStyle w:val="Normal"/>
        <w:numPr>
          <w:ilvl w:val="0"/>
          <w:numId w:val="5"/>
        </w:numPr>
        <w:ind w:hanging="360" w:start="1701" w:end="294"/>
        <w:rPr/>
      </w:pPr>
      <w:r>
        <w:rPr/>
        <w:t xml:space="preserve">oględzin makroskopowych gipsu dostarczonego na miejsce przeznaczenia oraz   ewentualnych opakowań z przewidzianymi normą napisami, </w:t>
      </w:r>
    </w:p>
    <w:p>
      <w:pPr>
        <w:pStyle w:val="Normal"/>
        <w:tabs>
          <w:tab w:val="clear" w:pos="708"/>
          <w:tab w:val="center" w:pos="1112" w:leader="none"/>
        </w:tabs>
        <w:ind w:hanging="0" w:start="1276"/>
        <w:jc w:val="start"/>
        <w:rPr/>
      </w:pPr>
      <w:r>
        <w:rPr/>
        <w:t xml:space="preserve"> </w:t>
      </w:r>
      <w:r>
        <w:rPr/>
        <w:tab/>
        <w:t xml:space="preserve">Akcesoria  </w:t>
      </w:r>
    </w:p>
    <w:p>
      <w:pPr>
        <w:pStyle w:val="Normal"/>
        <w:tabs>
          <w:tab w:val="clear" w:pos="708"/>
          <w:tab w:val="center" w:pos="1548" w:leader="none"/>
        </w:tabs>
        <w:ind w:hanging="0" w:start="1276"/>
        <w:jc w:val="start"/>
        <w:rPr/>
      </w:pPr>
      <w:r>
        <w:rPr/>
        <w:t xml:space="preserve"> </w:t>
      </w:r>
      <w:r>
        <w:rPr/>
        <w:tab/>
        <w:t xml:space="preserve">Narożniki tynkarskie </w:t>
      </w:r>
    </w:p>
    <w:p>
      <w:pPr>
        <w:pStyle w:val="Normal"/>
        <w:tabs>
          <w:tab w:val="clear" w:pos="708"/>
          <w:tab w:val="center" w:pos="1548" w:leader="none"/>
        </w:tabs>
        <w:ind w:hanging="0" w:start="1276"/>
        <w:jc w:val="start"/>
        <w:rPr/>
      </w:pPr>
      <w:r>
        <w:rPr/>
      </w:r>
    </w:p>
    <w:p>
      <w:pPr>
        <w:pStyle w:val="Normal"/>
        <w:ind w:hanging="577" w:start="1276" w:end="294"/>
        <w:rPr/>
      </w:pPr>
      <w:r>
        <w:rPr/>
        <w:t xml:space="preserve">2.2.2.   Ścianki z płyt gipsowo-kartonowych  </w:t>
      </w:r>
    </w:p>
    <w:p>
      <w:pPr>
        <w:pStyle w:val="Normal"/>
        <w:tabs>
          <w:tab w:val="clear" w:pos="708"/>
          <w:tab w:val="center" w:pos="2877" w:leader="none"/>
        </w:tabs>
        <w:ind w:hanging="0" w:start="1276"/>
        <w:jc w:val="start"/>
        <w:rPr/>
      </w:pPr>
      <w:r>
        <w:rPr/>
        <w:t xml:space="preserve"> </w:t>
      </w:r>
    </w:p>
    <w:p>
      <w:pPr>
        <w:pStyle w:val="Normal"/>
        <w:tabs>
          <w:tab w:val="clear" w:pos="708"/>
          <w:tab w:val="center" w:pos="2877" w:leader="none"/>
        </w:tabs>
        <w:ind w:hanging="0" w:start="1276"/>
        <w:jc w:val="start"/>
        <w:rPr/>
      </w:pPr>
      <w:r>
        <w:rPr/>
        <w:tab/>
        <w:t>Płyty gipsowo-kartonowe grub.12,5mm</w:t>
      </w:r>
    </w:p>
    <w:p>
      <w:pPr>
        <w:pStyle w:val="Normal"/>
        <w:tabs>
          <w:tab w:val="clear" w:pos="708"/>
          <w:tab w:val="center" w:pos="2877" w:leader="none"/>
        </w:tabs>
        <w:ind w:hanging="0" w:start="0"/>
        <w:jc w:val="start"/>
        <w:rPr/>
      </w:pPr>
      <w:r>
        <w:rPr/>
        <w:t xml:space="preserve"> </w:t>
      </w:r>
    </w:p>
    <w:p>
      <w:pPr>
        <w:pStyle w:val="Heading2"/>
        <w:tabs>
          <w:tab w:val="clear" w:pos="708"/>
          <w:tab w:val="center" w:pos="1440" w:leader="none"/>
        </w:tabs>
        <w:ind w:hanging="0" w:start="1276"/>
        <w:rPr/>
      </w:pPr>
      <w:r>
        <w:rPr/>
        <w:t>Warunki dostawy</w:t>
      </w:r>
      <w:r>
        <w:rPr>
          <w:i/>
          <w:u w:val="none"/>
        </w:rPr>
        <w:t xml:space="preserve">, </w:t>
      </w:r>
    </w:p>
    <w:p>
      <w:pPr>
        <w:pStyle w:val="Normal"/>
        <w:spacing w:lineRule="auto" w:line="271" w:before="0" w:after="11"/>
        <w:ind w:hanging="0" w:start="1276" w:end="908"/>
        <w:jc w:val="start"/>
        <w:rPr>
          <w:i/>
        </w:rPr>
      </w:pPr>
      <w:r>
        <w:rPr/>
        <w:t xml:space="preserve">Pochodzenie płyt i ich jakość określona atestem musi być zatwierdzona przez Inspektor nadzoru. </w:t>
      </w:r>
      <w:r>
        <w:rPr>
          <w:i/>
        </w:rPr>
        <w:t xml:space="preserve"> </w:t>
        <w:tab/>
        <w:t xml:space="preserve"> </w:t>
      </w:r>
    </w:p>
    <w:p>
      <w:pPr>
        <w:pStyle w:val="Normal"/>
        <w:spacing w:lineRule="auto" w:line="271" w:before="0" w:after="11"/>
        <w:ind w:hanging="0" w:start="1276" w:end="908"/>
        <w:jc w:val="start"/>
        <w:rPr/>
      </w:pPr>
      <w:r>
        <w:rPr>
          <w:u w:val="single" w:color="000000"/>
        </w:rPr>
        <w:t>Transport i składowanie</w:t>
      </w:r>
      <w:r>
        <w:rPr/>
        <w:t xml:space="preserve">  </w:t>
        <w:tab/>
      </w:r>
    </w:p>
    <w:p>
      <w:pPr>
        <w:pStyle w:val="Normal"/>
        <w:spacing w:lineRule="auto" w:line="271" w:before="0" w:after="11"/>
        <w:ind w:hanging="0" w:start="1276" w:end="908"/>
        <w:jc w:val="start"/>
        <w:rPr>
          <w:i/>
        </w:rPr>
      </w:pPr>
      <w:r>
        <w:rPr/>
        <w:t>wg PN-B-79405;1997 pkt 5.3. i 5.4.</w:t>
      </w:r>
      <w:r>
        <w:rPr>
          <w:i/>
        </w:rPr>
        <w:t xml:space="preserve">  </w:t>
        <w:tab/>
        <w:t xml:space="preserve"> </w:t>
      </w:r>
    </w:p>
    <w:p>
      <w:pPr>
        <w:pStyle w:val="Normal"/>
        <w:spacing w:lineRule="auto" w:line="271" w:before="0" w:after="11"/>
        <w:ind w:hanging="0" w:start="1276" w:end="908"/>
        <w:jc w:val="start"/>
        <w:rPr/>
      </w:pPr>
      <w:r>
        <w:rPr>
          <w:u w:val="single" w:color="000000"/>
        </w:rPr>
        <w:t>Kontrola jakości</w:t>
      </w:r>
      <w:r>
        <w:rPr/>
        <w:t xml:space="preserve">   </w:t>
        <w:tab/>
      </w:r>
    </w:p>
    <w:p>
      <w:pPr>
        <w:pStyle w:val="Normal"/>
        <w:spacing w:lineRule="auto" w:line="271" w:before="0" w:after="11"/>
        <w:ind w:hanging="0" w:start="1276" w:end="908"/>
        <w:jc w:val="start"/>
        <w:rPr/>
      </w:pPr>
      <w:r>
        <w:rPr/>
        <w:t xml:space="preserve">wg PN-B-79405;1997 </w:t>
      </w:r>
    </w:p>
    <w:p>
      <w:pPr>
        <w:pStyle w:val="Normal"/>
        <w:ind w:hanging="10" w:start="1276" w:end="294"/>
        <w:rPr/>
      </w:pPr>
      <w:r>
        <w:rPr/>
        <w:t xml:space="preserve">Ruszt stalowy: profile U 100, U 75, U50,  C100, C75, C50 zimnogięte  z blachy stalowej ocynkowanej 0,6mm, z tolerancją wymiarów ±0,04mm.Rzeczywista grubość profili nie może być mniejsza niż 0,52mm . Profile wg DIN 18182 </w:t>
      </w:r>
    </w:p>
    <w:p>
      <w:pPr>
        <w:pStyle w:val="Heading2"/>
        <w:tabs>
          <w:tab w:val="clear" w:pos="708"/>
          <w:tab w:val="center" w:pos="1440" w:leader="none"/>
        </w:tabs>
        <w:ind w:hanging="0" w:start="1276"/>
        <w:rPr/>
      </w:pPr>
      <w:r>
        <w:rPr/>
        <w:t>Warunki dostawy</w:t>
      </w:r>
      <w:r>
        <w:rPr>
          <w:i/>
          <w:u w:val="none"/>
        </w:rPr>
        <w:t xml:space="preserve">, </w:t>
      </w:r>
    </w:p>
    <w:p>
      <w:pPr>
        <w:pStyle w:val="Normal"/>
        <w:ind w:hanging="10" w:start="1276" w:end="294"/>
        <w:rPr/>
      </w:pPr>
      <w:r>
        <w:rPr/>
        <w:t xml:space="preserve">Pochodzenie kształtowników i ich jakość określona atestem musi być zatwierdzona przez Inspektora nadzoru. </w:t>
      </w:r>
    </w:p>
    <w:p>
      <w:pPr>
        <w:pStyle w:val="Normal"/>
        <w:tabs>
          <w:tab w:val="clear" w:pos="708"/>
          <w:tab w:val="center" w:pos="1394" w:leader="none"/>
        </w:tabs>
        <w:ind w:hanging="0" w:start="1276"/>
        <w:jc w:val="start"/>
        <w:rPr/>
      </w:pPr>
      <w:r>
        <w:rPr/>
      </w:r>
    </w:p>
    <w:p>
      <w:pPr>
        <w:pStyle w:val="Normal"/>
        <w:tabs>
          <w:tab w:val="clear" w:pos="708"/>
          <w:tab w:val="center" w:pos="1394" w:leader="none"/>
        </w:tabs>
        <w:ind w:hanging="0" w:start="1276"/>
        <w:jc w:val="start"/>
        <w:rPr/>
      </w:pPr>
      <w:r>
        <w:rPr/>
        <w:t xml:space="preserve">Gips szpachlowy   </w:t>
      </w:r>
    </w:p>
    <w:p>
      <w:pPr>
        <w:pStyle w:val="Heading2"/>
        <w:tabs>
          <w:tab w:val="clear" w:pos="708"/>
          <w:tab w:val="center" w:pos="3172" w:leader="none"/>
        </w:tabs>
        <w:ind w:hanging="0" w:start="1276"/>
        <w:rPr/>
      </w:pPr>
      <w:r>
        <w:rPr/>
        <w:t>Warunki dostawy, Transport i składowanie, Kontrola jakości</w:t>
      </w:r>
      <w:r>
        <w:rPr>
          <w:i/>
          <w:u w:val="none"/>
        </w:rPr>
        <w:t xml:space="preserve"> </w:t>
      </w:r>
      <w:r>
        <w:rPr>
          <w:u w:val="none"/>
        </w:rPr>
        <w:t xml:space="preserve"> </w:t>
      </w:r>
    </w:p>
    <w:p>
      <w:pPr>
        <w:pStyle w:val="Normal"/>
        <w:tabs>
          <w:tab w:val="clear" w:pos="708"/>
          <w:tab w:val="center" w:pos="1595" w:leader="none"/>
        </w:tabs>
        <w:ind w:hanging="0" w:start="1276"/>
        <w:jc w:val="start"/>
        <w:rPr/>
      </w:pPr>
      <w:r>
        <w:rPr/>
        <w:t xml:space="preserve">wg PN-B-30042;1997 </w:t>
      </w:r>
    </w:p>
    <w:p>
      <w:pPr>
        <w:pStyle w:val="Normal"/>
        <w:tabs>
          <w:tab w:val="clear" w:pos="708"/>
          <w:tab w:val="center" w:pos="2512" w:leader="none"/>
        </w:tabs>
        <w:ind w:hanging="0" w:start="1276"/>
        <w:jc w:val="start"/>
        <w:rPr/>
      </w:pPr>
      <w:r>
        <w:rPr/>
      </w:r>
    </w:p>
    <w:p>
      <w:pPr>
        <w:pStyle w:val="Normal"/>
        <w:tabs>
          <w:tab w:val="clear" w:pos="708"/>
          <w:tab w:val="center" w:pos="2512" w:leader="none"/>
        </w:tabs>
        <w:ind w:hanging="0" w:start="1276"/>
        <w:jc w:val="start"/>
        <w:rPr/>
      </w:pPr>
      <w:r>
        <w:rPr/>
        <w:t xml:space="preserve">Płyty z wełny mineralnej o gęstości 35kg/m3 </w:t>
      </w:r>
    </w:p>
    <w:p>
      <w:pPr>
        <w:pStyle w:val="Heading2"/>
        <w:tabs>
          <w:tab w:val="clear" w:pos="708"/>
          <w:tab w:val="center" w:pos="1440" w:leader="none"/>
        </w:tabs>
        <w:ind w:hanging="0" w:start="1276"/>
        <w:rPr/>
      </w:pPr>
      <w:r>
        <w:rPr/>
        <w:t>Warunki dostawy</w:t>
      </w:r>
      <w:r>
        <w:rPr>
          <w:i/>
          <w:u w:val="none"/>
        </w:rPr>
        <w:t xml:space="preserve">, </w:t>
      </w:r>
    </w:p>
    <w:p>
      <w:pPr>
        <w:pStyle w:val="Normal"/>
        <w:ind w:hanging="10" w:start="1276" w:end="294"/>
        <w:rPr/>
      </w:pPr>
      <w:r>
        <w:rPr/>
        <w:t xml:space="preserve">Pochodzenie płyt z wełny mineralnej i ich jakość określona atestem musi być zatwierdzona przez Inspektor nadzoru. </w:t>
      </w:r>
    </w:p>
    <w:p>
      <w:pPr>
        <w:pStyle w:val="Heading2"/>
        <w:tabs>
          <w:tab w:val="clear" w:pos="708"/>
          <w:tab w:val="center" w:pos="1672" w:leader="none"/>
        </w:tabs>
        <w:ind w:hanging="0" w:start="1276"/>
        <w:rPr/>
      </w:pPr>
      <w:r>
        <w:rPr/>
        <w:t>Transport i składowanie</w:t>
      </w:r>
      <w:r>
        <w:rPr>
          <w:u w:val="none"/>
        </w:rPr>
        <w:t xml:space="preserve">   </w:t>
      </w:r>
    </w:p>
    <w:p>
      <w:pPr>
        <w:pStyle w:val="Normal"/>
        <w:ind w:hanging="10" w:start="1276" w:end="294"/>
        <w:rPr/>
      </w:pPr>
      <w:r>
        <w:rPr/>
        <w:t xml:space="preserve">Płyty opakowane folią należy przewozić  krytymi środkami transportu, zabezpieczone przed zawilgoceniem, opadami atmosferycznymi, przesuwaniem i uszkodzeniami mechanicznymi </w:t>
        <w:br/>
        <w:t xml:space="preserve">w pozycji leżącej, układając je na całej powierzchni i wysokości środka transportowego. Płyty należy przechowywać w pomieszczeniach krytych, zabezpieczonych przed wilgocią i opadami atmosferycznymi w pozycji leżącej na równym podłożu w warstwach o wysokości do 2 m </w:t>
      </w:r>
    </w:p>
    <w:p>
      <w:pPr>
        <w:pStyle w:val="Normal"/>
        <w:spacing w:lineRule="auto" w:line="271" w:before="0" w:after="11"/>
        <w:ind w:hanging="10" w:start="1276" w:end="20"/>
        <w:jc w:val="start"/>
        <w:rPr/>
      </w:pPr>
      <w:r>
        <w:rPr>
          <w:u w:val="single" w:color="000000"/>
        </w:rPr>
        <w:t>Kontrola jakości</w:t>
      </w:r>
      <w:r>
        <w:rPr/>
        <w:t xml:space="preserve">  </w:t>
        <w:tab/>
      </w:r>
    </w:p>
    <w:p>
      <w:pPr>
        <w:pStyle w:val="Normal"/>
        <w:spacing w:lineRule="auto" w:line="271" w:before="0" w:after="11"/>
        <w:ind w:hanging="10" w:start="1276" w:end="20"/>
        <w:jc w:val="start"/>
        <w:rPr/>
      </w:pPr>
      <w:r>
        <w:rPr/>
        <w:t xml:space="preserve">wg PN-B-23116;1997  </w:t>
        <w:tab/>
      </w:r>
    </w:p>
    <w:p>
      <w:pPr>
        <w:pStyle w:val="Normal"/>
        <w:spacing w:lineRule="auto" w:line="271" w:before="0" w:after="11"/>
        <w:ind w:hanging="10" w:start="1276" w:end="20"/>
        <w:jc w:val="start"/>
        <w:rPr/>
      </w:pPr>
      <w:r>
        <w:rPr/>
        <w:t xml:space="preserve">Akcesoria: </w:t>
      </w:r>
    </w:p>
    <w:p>
      <w:pPr>
        <w:pStyle w:val="Normal"/>
        <w:tabs>
          <w:tab w:val="clear" w:pos="708"/>
          <w:tab w:val="center" w:pos="1841" w:leader="none"/>
        </w:tabs>
        <w:ind w:hanging="0" w:start="1276"/>
        <w:jc w:val="start"/>
        <w:rPr/>
      </w:pPr>
      <w:r>
        <w:rPr/>
        <w:t xml:space="preserve">Kołki mocujące do profili U </w:t>
      </w:r>
    </w:p>
    <w:p>
      <w:pPr>
        <w:pStyle w:val="Normal"/>
        <w:tabs>
          <w:tab w:val="clear" w:pos="708"/>
          <w:tab w:val="center" w:pos="2626" w:leader="none"/>
        </w:tabs>
        <w:ind w:hanging="0" w:start="1276"/>
        <w:jc w:val="start"/>
        <w:rPr/>
      </w:pPr>
      <w:r>
        <w:rPr/>
        <w:tab/>
        <w:t xml:space="preserve">Blachowkręty do blach 0,75mm min 3,5*25mm </w:t>
      </w:r>
    </w:p>
    <w:p>
      <w:pPr>
        <w:pStyle w:val="Normal"/>
        <w:tabs>
          <w:tab w:val="clear" w:pos="708"/>
          <w:tab w:val="center" w:pos="2910" w:leader="none"/>
        </w:tabs>
        <w:ind w:hanging="0" w:start="1276"/>
        <w:jc w:val="start"/>
        <w:rPr/>
      </w:pPr>
      <w:r>
        <w:rPr/>
        <w:t xml:space="preserve">Taśma do spoinowania z włókna szklanego szer.50mm </w:t>
      </w:r>
    </w:p>
    <w:p>
      <w:pPr>
        <w:pStyle w:val="Normal"/>
        <w:tabs>
          <w:tab w:val="clear" w:pos="708"/>
          <w:tab w:val="center" w:pos="2413" w:leader="none"/>
        </w:tabs>
        <w:ind w:hanging="0" w:start="1276"/>
        <w:jc w:val="start"/>
        <w:rPr/>
      </w:pPr>
      <w:r>
        <w:rPr/>
        <w:tab/>
        <w:t xml:space="preserve">Taśma papierowa perforowana szer.50mm </w:t>
      </w:r>
    </w:p>
    <w:p>
      <w:pPr>
        <w:pStyle w:val="Normal"/>
        <w:tabs>
          <w:tab w:val="clear" w:pos="708"/>
          <w:tab w:val="center" w:pos="2209" w:leader="none"/>
        </w:tabs>
        <w:ind w:hanging="0" w:start="1276"/>
        <w:jc w:val="start"/>
        <w:rPr/>
      </w:pPr>
      <w:r>
        <w:rPr/>
        <w:tab/>
        <w:t>Narożnik stalowy siateczkowy 32*32</w:t>
      </w:r>
    </w:p>
    <w:p>
      <w:pPr>
        <w:pStyle w:val="Normal"/>
        <w:tabs>
          <w:tab w:val="clear" w:pos="708"/>
          <w:tab w:val="center" w:pos="2209" w:leader="none"/>
        </w:tabs>
        <w:ind w:hanging="0" w:start="1276"/>
        <w:jc w:val="start"/>
        <w:rPr/>
      </w:pPr>
      <w:r>
        <w:rPr/>
      </w:r>
    </w:p>
    <w:p>
      <w:pPr>
        <w:pStyle w:val="Normal"/>
        <w:tabs>
          <w:tab w:val="clear" w:pos="708"/>
          <w:tab w:val="center" w:pos="2374" w:leader="none"/>
        </w:tabs>
        <w:ind w:hanging="567" w:start="1276"/>
        <w:jc w:val="start"/>
        <w:rPr/>
      </w:pPr>
      <w:r>
        <w:rPr/>
        <w:t xml:space="preserve">2.2.3. </w:t>
        <w:tab/>
        <w:t>Posadzki z paneli winylowych</w:t>
      </w:r>
    </w:p>
    <w:p>
      <w:pPr>
        <w:pStyle w:val="Normal"/>
        <w:tabs>
          <w:tab w:val="clear" w:pos="708"/>
          <w:tab w:val="center" w:pos="2186" w:leader="none"/>
        </w:tabs>
        <w:ind w:hanging="0" w:start="1276"/>
        <w:jc w:val="start"/>
        <w:rPr/>
      </w:pPr>
      <w:r>
        <w:rPr/>
        <w:tab/>
      </w:r>
    </w:p>
    <w:p>
      <w:pPr>
        <w:pStyle w:val="Normal"/>
        <w:tabs>
          <w:tab w:val="clear" w:pos="708"/>
          <w:tab w:val="center" w:pos="2186" w:leader="none"/>
        </w:tabs>
        <w:ind w:hanging="0" w:start="1276"/>
        <w:jc w:val="start"/>
        <w:rPr/>
      </w:pPr>
      <w:r>
        <w:rPr/>
        <w:t>Panele winylowe LVT o klasie minimum 33, grubości minimalnej 2,5 mm, warstwa ścierlana minimum 0,55 mm, klasa antypoślizgowa R9 lub R 10,  (w zależności od strefy). Przed zakupem należy uzgodnić kolorystykę z Zamawiającym.</w:t>
      </w:r>
    </w:p>
    <w:p>
      <w:pPr>
        <w:pStyle w:val="Normal"/>
        <w:tabs>
          <w:tab w:val="clear" w:pos="708"/>
          <w:tab w:val="center" w:pos="1440" w:leader="none"/>
        </w:tabs>
        <w:spacing w:lineRule="auto" w:line="269" w:before="0" w:after="16"/>
        <w:ind w:hanging="0" w:start="1276"/>
        <w:jc w:val="start"/>
        <w:rPr/>
      </w:pPr>
      <w:r>
        <w:rPr>
          <w:i/>
        </w:rPr>
        <w:tab/>
      </w:r>
      <w:r>
        <w:rPr>
          <w:u w:val="single" w:color="000000"/>
        </w:rPr>
        <w:t>Warunki dostawy</w:t>
      </w:r>
      <w:r>
        <w:rPr>
          <w:i/>
        </w:rPr>
        <w:t xml:space="preserve">, </w:t>
      </w:r>
    </w:p>
    <w:p>
      <w:pPr>
        <w:pStyle w:val="Normal"/>
        <w:tabs>
          <w:tab w:val="clear" w:pos="708"/>
          <w:tab w:val="center" w:pos="3253" w:leader="none"/>
        </w:tabs>
        <w:ind w:hanging="0" w:start="1276"/>
        <w:jc w:val="start"/>
        <w:rPr/>
      </w:pPr>
      <w:r>
        <w:rPr/>
        <w:tab/>
        <w:t xml:space="preserve">Deklaracja lub certyfikat zgodności z dokumentem odniesienia. </w:t>
      </w:r>
    </w:p>
    <w:p>
      <w:pPr>
        <w:pStyle w:val="Heading2"/>
        <w:tabs>
          <w:tab w:val="clear" w:pos="708"/>
          <w:tab w:val="center" w:pos="1672" w:leader="none"/>
        </w:tabs>
        <w:ind w:hanging="0" w:start="1276"/>
        <w:rPr/>
      </w:pPr>
      <w:r>
        <w:rPr>
          <w:u w:val="none"/>
        </w:rPr>
        <w:tab/>
      </w:r>
      <w:r>
        <w:rPr/>
        <w:t>Transport i składowanie</w:t>
      </w:r>
      <w:r>
        <w:rPr>
          <w:u w:val="none"/>
        </w:rPr>
        <w:t xml:space="preserve">   </w:t>
      </w:r>
    </w:p>
    <w:p>
      <w:pPr>
        <w:pStyle w:val="Normal"/>
        <w:ind w:hanging="10" w:start="1276" w:end="294"/>
        <w:rPr/>
      </w:pPr>
      <w:r>
        <w:rPr/>
        <w:t xml:space="preserve">Panele należy przechowywać w pomieszczeniach zamkniętych , opakowania jednostkowe paneli można spiętrzać do wysokości określonej przez producenta. Zawartość opakowania jednostkowego powinna wynosić wartość deklarowaną przez producenta a panele w opakowaniu ściśle przylegać. </w:t>
      </w:r>
    </w:p>
    <w:p>
      <w:pPr>
        <w:pStyle w:val="Heading2"/>
        <w:tabs>
          <w:tab w:val="clear" w:pos="708"/>
          <w:tab w:val="center" w:pos="1372" w:leader="none"/>
        </w:tabs>
        <w:ind w:hanging="0" w:start="1276"/>
        <w:rPr/>
      </w:pPr>
      <w:r>
        <w:rPr>
          <w:u w:val="none"/>
        </w:rPr>
        <w:tab/>
      </w:r>
      <w:r>
        <w:rPr/>
        <w:t>Kontrola jakości</w:t>
      </w:r>
      <w:r>
        <w:rPr>
          <w:u w:val="none"/>
        </w:rPr>
        <w:t xml:space="preserve">   </w:t>
      </w:r>
    </w:p>
    <w:p>
      <w:pPr>
        <w:pStyle w:val="Normal"/>
        <w:ind w:hanging="10" w:start="1276" w:end="294"/>
        <w:rPr/>
      </w:pPr>
      <w:r>
        <w:rPr/>
        <w:t xml:space="preserve">Panele powinny spełniać wymagania normy EN 14041:2004 / AC:2006  Materiał powinien wykazywać jednolitość barwy i wzoru na całej powierzchni i pochodzić z jednego cyklu produkcyjnego. </w:t>
      </w:r>
    </w:p>
    <w:p>
      <w:pPr>
        <w:pStyle w:val="Normal"/>
        <w:ind w:hanging="10" w:start="1276" w:end="294"/>
        <w:rPr/>
      </w:pPr>
      <w:r>
        <w:rPr/>
      </w:r>
    </w:p>
    <w:p>
      <w:pPr>
        <w:pStyle w:val="Normal"/>
        <w:ind w:hanging="10" w:start="1276" w:end="294"/>
        <w:rPr/>
      </w:pPr>
      <w:r>
        <w:rPr/>
      </w:r>
    </w:p>
    <w:p>
      <w:pPr>
        <w:pStyle w:val="Normal"/>
        <w:ind w:hanging="10" w:start="1276" w:end="294"/>
        <w:rPr/>
      </w:pPr>
      <w:r>
        <w:rPr/>
        <w:t xml:space="preserve">Emulsja gruntująca – do podłoży, silnie chłonnych, do wiązania pyłu i powierzchniowego wzmacniania podłoży zalecany przez producenta paneli. </w:t>
      </w:r>
    </w:p>
    <w:p>
      <w:pPr>
        <w:pStyle w:val="Heading2"/>
        <w:tabs>
          <w:tab w:val="clear" w:pos="708"/>
          <w:tab w:val="center" w:pos="1415" w:leader="none"/>
        </w:tabs>
        <w:ind w:hanging="0" w:start="1276"/>
        <w:rPr/>
      </w:pPr>
      <w:r>
        <w:rPr/>
        <w:t>Warunki dostawy</w:t>
      </w:r>
      <w:r>
        <w:rPr>
          <w:u w:val="none"/>
        </w:rPr>
        <w:t xml:space="preserve"> </w:t>
      </w:r>
    </w:p>
    <w:p>
      <w:pPr>
        <w:pStyle w:val="Normal"/>
        <w:tabs>
          <w:tab w:val="clear" w:pos="708"/>
          <w:tab w:val="center" w:pos="1980" w:leader="none"/>
        </w:tabs>
        <w:ind w:hanging="0" w:start="1276"/>
        <w:jc w:val="start"/>
        <w:rPr/>
      </w:pPr>
      <w:r>
        <w:rPr>
          <w:i/>
        </w:rPr>
        <w:tab/>
      </w:r>
      <w:r>
        <w:rPr/>
        <w:t xml:space="preserve">wyrób musi posiadać atest PZH </w:t>
      </w:r>
    </w:p>
    <w:p>
      <w:pPr>
        <w:pStyle w:val="Normal"/>
        <w:ind w:hanging="0" w:start="1276" w:end="294"/>
        <w:rPr/>
      </w:pPr>
      <w:r>
        <w:rPr>
          <w:u w:val="single" w:color="000000"/>
        </w:rPr>
        <w:t>Transport i składowanie</w:t>
      </w:r>
      <w:r>
        <w:rPr/>
        <w:t xml:space="preserve"> </w:t>
      </w:r>
    </w:p>
    <w:p>
      <w:pPr>
        <w:pStyle w:val="Normal"/>
        <w:ind w:hanging="0" w:start="1276" w:end="294"/>
        <w:rPr/>
      </w:pPr>
      <w:r>
        <w:rPr/>
        <w:t xml:space="preserve">Przechowywać w chłodnym i suchym miejscu w temperaturze dodatniej w oryginalnie zamkniętych opakowaniach nie dłużej niż do daty ważności. </w:t>
      </w:r>
    </w:p>
    <w:p>
      <w:pPr>
        <w:pStyle w:val="Normal"/>
        <w:ind w:hanging="10" w:start="1276" w:end="4580"/>
        <w:rPr/>
      </w:pPr>
      <w:r>
        <w:rPr/>
      </w:r>
    </w:p>
    <w:p>
      <w:pPr>
        <w:pStyle w:val="Normal"/>
        <w:ind w:hanging="10" w:start="1276" w:end="4580"/>
        <w:rPr/>
      </w:pPr>
      <w:r>
        <w:rPr/>
        <w:t>Zaprawa klejowa do paneli winylowych zalecany przez producenta paneli.</w:t>
      </w:r>
    </w:p>
    <w:p>
      <w:pPr>
        <w:pStyle w:val="Normal"/>
        <w:ind w:hanging="10" w:start="1276" w:end="4580"/>
        <w:rPr/>
      </w:pPr>
      <w:r>
        <w:rPr>
          <w:u w:val="single" w:color="000000"/>
        </w:rPr>
        <w:t>Warunki dostawy</w:t>
      </w:r>
      <w:r>
        <w:rPr/>
        <w:t xml:space="preserve"> </w:t>
      </w:r>
    </w:p>
    <w:p>
      <w:pPr>
        <w:pStyle w:val="Normal"/>
        <w:tabs>
          <w:tab w:val="clear" w:pos="708"/>
          <w:tab w:val="center" w:pos="1980" w:leader="none"/>
        </w:tabs>
        <w:ind w:hanging="0" w:start="1276"/>
        <w:jc w:val="start"/>
        <w:rPr/>
      </w:pPr>
      <w:r>
        <w:rPr/>
        <w:t xml:space="preserve">wyrób musi posiadać atest PZH </w:t>
      </w:r>
    </w:p>
    <w:p>
      <w:pPr>
        <w:pStyle w:val="Heading2"/>
        <w:tabs>
          <w:tab w:val="clear" w:pos="708"/>
          <w:tab w:val="center" w:pos="1672" w:leader="none"/>
        </w:tabs>
        <w:ind w:hanging="0" w:start="1276"/>
        <w:rPr/>
      </w:pPr>
      <w:r>
        <w:rPr>
          <w:i/>
          <w:u w:val="none"/>
        </w:rPr>
        <w:tab/>
      </w:r>
      <w:r>
        <w:rPr/>
        <w:t>Transport i składowanie</w:t>
      </w:r>
      <w:r>
        <w:rPr>
          <w:u w:val="none"/>
        </w:rPr>
        <w:t xml:space="preserve"> </w:t>
      </w:r>
    </w:p>
    <w:p>
      <w:pPr>
        <w:pStyle w:val="Normal"/>
        <w:ind w:hanging="10" w:start="1276" w:end="294"/>
        <w:rPr/>
      </w:pPr>
      <w:r>
        <w:rPr/>
        <w:t xml:space="preserve">Transport zaprawy klejowej analogicznie do wymagań dla cementu. Zaprawę klejową przechowywać w chłodnym i suchym miejscu w temperaturze dodatniej w oryginalnie zamkniętych opakowaniach nie dłużej niż do daty ważności. </w:t>
      </w:r>
    </w:p>
    <w:p>
      <w:pPr>
        <w:pStyle w:val="Heading2"/>
        <w:tabs>
          <w:tab w:val="clear" w:pos="708"/>
          <w:tab w:val="center" w:pos="1372" w:leader="none"/>
        </w:tabs>
        <w:ind w:hanging="0" w:start="1276"/>
        <w:rPr/>
      </w:pPr>
      <w:r>
        <w:rPr>
          <w:i/>
          <w:u w:val="none"/>
        </w:rPr>
        <w:tab/>
      </w:r>
      <w:r>
        <w:rPr/>
        <w:t>Kontrola jakości</w:t>
      </w:r>
      <w:r>
        <w:rPr>
          <w:u w:val="none"/>
        </w:rPr>
        <w:t xml:space="preserve"> </w:t>
      </w:r>
    </w:p>
    <w:p>
      <w:pPr>
        <w:pStyle w:val="Normal"/>
        <w:tabs>
          <w:tab w:val="clear" w:pos="708"/>
          <w:tab w:val="center" w:pos="1678" w:leader="none"/>
        </w:tabs>
        <w:ind w:hanging="0" w:start="1276"/>
        <w:jc w:val="start"/>
        <w:rPr/>
      </w:pPr>
      <w:r>
        <w:rPr/>
        <w:t xml:space="preserve">Klej zgodny z normą PN-EN ISO 22636:2021-06 o gęstości zgodniej z  PN-EN ISO 1183-1 </w:t>
      </w:r>
    </w:p>
    <w:p>
      <w:pPr>
        <w:pStyle w:val="Normal"/>
        <w:spacing w:lineRule="auto" w:line="271" w:before="0" w:after="11"/>
        <w:ind w:hanging="10" w:start="1276" w:end="20"/>
        <w:jc w:val="start"/>
        <w:rPr/>
      </w:pPr>
      <w:r>
        <w:rPr/>
      </w:r>
    </w:p>
    <w:p>
      <w:pPr>
        <w:pStyle w:val="Normal"/>
        <w:spacing w:lineRule="auto" w:line="271" w:before="0" w:after="11"/>
        <w:ind w:hanging="10" w:start="1276" w:end="20"/>
        <w:jc w:val="start"/>
        <w:rPr>
          <w:i/>
        </w:rPr>
      </w:pPr>
      <w:r>
        <w:rPr/>
        <w:t>Akcesoria – do nakładania kleju</w:t>
      </w:r>
      <w:r>
        <w:rPr>
          <w:i/>
        </w:rPr>
        <w:t xml:space="preserve">  </w:t>
      </w:r>
    </w:p>
    <w:p>
      <w:pPr>
        <w:pStyle w:val="Normal"/>
        <w:spacing w:lineRule="auto" w:line="271" w:before="0" w:after="11"/>
        <w:ind w:hanging="10" w:start="1276" w:end="20"/>
        <w:jc w:val="start"/>
        <w:rPr>
          <w:i/>
        </w:rPr>
      </w:pPr>
      <w:r>
        <w:rPr>
          <w:u w:val="single" w:color="000000"/>
        </w:rPr>
        <w:t>Warunki dostawy, Transport i składowanie, Kontrola jakości</w:t>
      </w:r>
      <w:r>
        <w:rPr/>
        <w:t xml:space="preserve"> </w:t>
      </w:r>
      <w:r>
        <w:rPr>
          <w:i/>
        </w:rPr>
        <w:t xml:space="preserve"> </w:t>
      </w:r>
    </w:p>
    <w:p>
      <w:pPr>
        <w:pStyle w:val="Normal"/>
        <w:spacing w:lineRule="auto" w:line="271" w:before="0" w:after="11"/>
        <w:ind w:hanging="10" w:start="1276" w:end="20"/>
        <w:jc w:val="start"/>
        <w:rPr/>
      </w:pPr>
      <w:r>
        <w:rPr/>
        <w:t xml:space="preserve">jak dla ww produktu. </w:t>
      </w:r>
    </w:p>
    <w:p>
      <w:pPr>
        <w:pStyle w:val="Normal"/>
        <w:tabs>
          <w:tab w:val="clear" w:pos="708"/>
          <w:tab w:val="center" w:pos="2740" w:leader="none"/>
        </w:tabs>
        <w:ind w:hanging="0" w:start="1276"/>
        <w:jc w:val="start"/>
        <w:rPr/>
      </w:pPr>
      <w:r>
        <w:rPr/>
      </w:r>
    </w:p>
    <w:p>
      <w:pPr>
        <w:pStyle w:val="Normal"/>
        <w:tabs>
          <w:tab w:val="clear" w:pos="708"/>
          <w:tab w:val="center" w:pos="2740" w:leader="none"/>
        </w:tabs>
        <w:ind w:hanging="0" w:start="1276"/>
        <w:jc w:val="start"/>
        <w:rPr/>
      </w:pPr>
      <w:r>
        <w:rPr/>
        <w:tab/>
        <w:t xml:space="preserve">Kit silikonowy do spoinowania – Silikon sanitarny </w:t>
      </w:r>
    </w:p>
    <w:p>
      <w:pPr>
        <w:pStyle w:val="Normal"/>
        <w:tabs>
          <w:tab w:val="clear" w:pos="708"/>
          <w:tab w:val="center" w:pos="1415" w:leader="none"/>
        </w:tabs>
        <w:spacing w:lineRule="auto" w:line="269" w:before="0" w:after="16"/>
        <w:ind w:hanging="0" w:start="1276"/>
        <w:jc w:val="start"/>
        <w:rPr/>
      </w:pPr>
      <w:r>
        <w:rPr>
          <w:i/>
        </w:rPr>
        <w:tab/>
      </w:r>
      <w:r>
        <w:rPr>
          <w:u w:val="single" w:color="000000"/>
        </w:rPr>
        <w:t>Warunki dostawy</w:t>
      </w:r>
      <w:r>
        <w:rPr/>
        <w:t xml:space="preserve"> </w:t>
      </w:r>
    </w:p>
    <w:p>
      <w:pPr>
        <w:pStyle w:val="Normal"/>
        <w:tabs>
          <w:tab w:val="clear" w:pos="708"/>
          <w:tab w:val="center" w:pos="2005" w:leader="none"/>
        </w:tabs>
        <w:ind w:hanging="0" w:start="1276"/>
        <w:jc w:val="start"/>
        <w:rPr/>
      </w:pPr>
      <w:r>
        <w:rPr>
          <w:i/>
        </w:rPr>
        <w:tab/>
      </w:r>
      <w:r>
        <w:rPr/>
        <w:t xml:space="preserve">wyrób musi posiadać atest PZH. </w:t>
      </w:r>
    </w:p>
    <w:p>
      <w:pPr>
        <w:pStyle w:val="Heading2"/>
        <w:tabs>
          <w:tab w:val="clear" w:pos="708"/>
          <w:tab w:val="center" w:pos="1672" w:leader="none"/>
        </w:tabs>
        <w:ind w:hanging="0" w:start="1276"/>
        <w:rPr/>
      </w:pPr>
      <w:r>
        <w:rPr>
          <w:i/>
          <w:u w:val="none"/>
        </w:rPr>
        <w:tab/>
      </w:r>
      <w:r>
        <w:rPr/>
        <w:t>Transport i składowanie</w:t>
      </w:r>
      <w:r>
        <w:rPr>
          <w:u w:val="none"/>
        </w:rPr>
        <w:t xml:space="preserve"> </w:t>
      </w:r>
    </w:p>
    <w:p>
      <w:pPr>
        <w:pStyle w:val="Normal"/>
        <w:ind w:hanging="0" w:start="1276" w:end="294"/>
        <w:rPr/>
      </w:pPr>
      <w:r>
        <w:rPr/>
        <w:t xml:space="preserve">należy przestrzegać podanego przez producenta okresu ważności, kit należy  przechowywać </w:t>
        <w:br/>
        <w:t xml:space="preserve">i przewozić w szczelnie zamkniętych opakowaniach, w suchych warunkach  w temperaturze +5şC do +25şC.  </w:t>
      </w:r>
    </w:p>
    <w:p>
      <w:pPr>
        <w:pStyle w:val="Normal"/>
        <w:ind w:hanging="0" w:start="1276" w:end="294"/>
        <w:rPr/>
      </w:pPr>
      <w:r>
        <w:rPr/>
        <w:t>Listwy wykończeniowe i progowe – dobrane do systemu</w:t>
      </w:r>
    </w:p>
    <w:p>
      <w:pPr>
        <w:pStyle w:val="Normal"/>
        <w:ind w:hanging="0" w:start="1276" w:end="294"/>
        <w:rPr/>
      </w:pPr>
      <w:r>
        <w:rPr/>
      </w:r>
    </w:p>
    <w:p>
      <w:pPr>
        <w:pStyle w:val="Normal"/>
        <w:tabs>
          <w:tab w:val="clear" w:pos="708"/>
          <w:tab w:val="center" w:pos="1414" w:leader="none"/>
        </w:tabs>
        <w:ind w:hanging="567" w:start="1276"/>
        <w:jc w:val="start"/>
        <w:rPr/>
      </w:pPr>
      <w:r>
        <w:rPr/>
        <w:t xml:space="preserve">2.2.4. </w:t>
        <w:tab/>
        <w:t xml:space="preserve">Roboty malarskie </w:t>
      </w:r>
    </w:p>
    <w:p>
      <w:pPr>
        <w:pStyle w:val="Normal"/>
        <w:tabs>
          <w:tab w:val="clear" w:pos="708"/>
          <w:tab w:val="center" w:pos="2700" w:leader="none"/>
        </w:tabs>
        <w:ind w:hanging="0" w:start="1276"/>
        <w:jc w:val="start"/>
        <w:rPr/>
      </w:pPr>
      <w:r>
        <w:rPr/>
        <w:t xml:space="preserve"> </w:t>
      </w:r>
      <w:r>
        <w:rPr/>
        <w:tab/>
        <w:t xml:space="preserve">Farba lateksowe odporne na zmywanie i ścieranie - ściany </w:t>
      </w:r>
    </w:p>
    <w:p>
      <w:pPr>
        <w:pStyle w:val="Normal"/>
        <w:tabs>
          <w:tab w:val="clear" w:pos="708"/>
          <w:tab w:val="center" w:pos="2567" w:leader="none"/>
        </w:tabs>
        <w:ind w:hanging="0" w:start="1276"/>
        <w:jc w:val="start"/>
        <w:rPr/>
      </w:pPr>
      <w:r>
        <w:rPr/>
        <w:t xml:space="preserve"> </w:t>
      </w:r>
      <w:r>
        <w:rPr/>
        <w:tab/>
        <w:t>Farba emulsyjna do malowania wewnętrznego - sufit</w:t>
      </w:r>
    </w:p>
    <w:p>
      <w:pPr>
        <w:pStyle w:val="Normal"/>
        <w:tabs>
          <w:tab w:val="clear" w:pos="708"/>
          <w:tab w:val="center" w:pos="2092" w:leader="none"/>
        </w:tabs>
        <w:ind w:hanging="0" w:start="1276"/>
        <w:jc w:val="start"/>
        <w:rPr/>
      </w:pPr>
      <w:r>
        <w:rPr/>
        <w:t xml:space="preserve"> </w:t>
      </w:r>
      <w:r>
        <w:rPr/>
        <w:tab/>
        <w:t>Farba olejna miniowa podkładowa</w:t>
      </w:r>
    </w:p>
    <w:p>
      <w:pPr>
        <w:pStyle w:val="Normal"/>
        <w:tabs>
          <w:tab w:val="clear" w:pos="708"/>
          <w:tab w:val="center" w:pos="1883" w:leader="none"/>
        </w:tabs>
        <w:ind w:hanging="0" w:start="1276"/>
        <w:jc w:val="start"/>
        <w:rPr/>
      </w:pPr>
      <w:r>
        <w:rPr/>
        <w:t xml:space="preserve"> </w:t>
      </w:r>
      <w:r>
        <w:rPr/>
        <w:tab/>
        <w:t>Farba olejna nawierzchniowa</w:t>
      </w:r>
    </w:p>
    <w:p>
      <w:pPr>
        <w:pStyle w:val="Normal"/>
        <w:tabs>
          <w:tab w:val="clear" w:pos="708"/>
          <w:tab w:val="center" w:pos="1883" w:leader="none"/>
        </w:tabs>
        <w:ind w:hanging="0" w:start="1276"/>
        <w:jc w:val="start"/>
        <w:rPr/>
      </w:pPr>
      <w:r>
        <w:rPr/>
      </w:r>
    </w:p>
    <w:p>
      <w:pPr>
        <w:pStyle w:val="Normal"/>
        <w:tabs>
          <w:tab w:val="clear" w:pos="708"/>
          <w:tab w:val="center" w:pos="1993" w:leader="none"/>
        </w:tabs>
        <w:ind w:hanging="567" w:start="1276"/>
        <w:jc w:val="start"/>
        <w:rPr/>
      </w:pPr>
      <w:r>
        <w:rPr/>
        <w:t xml:space="preserve">2.2.5. </w:t>
        <w:tab/>
        <w:t xml:space="preserve">Posadzki z płytek ceramicznych  </w:t>
      </w:r>
    </w:p>
    <w:p>
      <w:pPr>
        <w:pStyle w:val="Normal"/>
        <w:tabs>
          <w:tab w:val="clear" w:pos="708"/>
          <w:tab w:val="center" w:pos="3706" w:leader="none"/>
        </w:tabs>
        <w:ind w:hanging="0" w:start="1276"/>
        <w:jc w:val="start"/>
        <w:rPr/>
      </w:pPr>
      <w:r>
        <w:rPr/>
      </w:r>
    </w:p>
    <w:p>
      <w:pPr>
        <w:pStyle w:val="Normal"/>
        <w:tabs>
          <w:tab w:val="clear" w:pos="708"/>
          <w:tab w:val="center" w:pos="2186" w:leader="none"/>
        </w:tabs>
        <w:ind w:hanging="0" w:start="1276"/>
        <w:jc w:val="start"/>
        <w:rPr/>
      </w:pPr>
      <w:r>
        <w:rPr/>
        <w:t>Płytki granitogresowe o klasie antypoślizgowości min. R10 (wg DIN 51130), w sanitariatach dla osób z niepełnosprawnościami min. R11. Wymiary min. 60x60 cm. Przed zakupem należy uzgodnić kolorystykę z Zamawiającym.</w:t>
      </w:r>
    </w:p>
    <w:p>
      <w:pPr>
        <w:pStyle w:val="Normal"/>
        <w:tabs>
          <w:tab w:val="clear" w:pos="708"/>
          <w:tab w:val="center" w:pos="3706" w:leader="none"/>
        </w:tabs>
        <w:ind w:hanging="0" w:start="1276"/>
        <w:jc w:val="start"/>
        <w:rPr/>
      </w:pPr>
      <w:r>
        <w:rPr/>
      </w:r>
    </w:p>
    <w:p>
      <w:pPr>
        <w:pStyle w:val="Heading2"/>
        <w:tabs>
          <w:tab w:val="clear" w:pos="708"/>
          <w:tab w:val="center" w:pos="1415" w:leader="none"/>
        </w:tabs>
        <w:ind w:hanging="0" w:start="1276"/>
        <w:rPr/>
      </w:pPr>
      <w:r>
        <w:rPr>
          <w:u w:val="none"/>
        </w:rPr>
        <w:tab/>
      </w:r>
      <w:r>
        <w:rPr/>
        <w:t>Warunki dostawy</w:t>
      </w:r>
      <w:r>
        <w:rPr>
          <w:u w:val="none"/>
        </w:rPr>
        <w:t xml:space="preserve"> </w:t>
      </w:r>
    </w:p>
    <w:p>
      <w:pPr>
        <w:pStyle w:val="Normal"/>
        <w:tabs>
          <w:tab w:val="clear" w:pos="708"/>
          <w:tab w:val="center" w:pos="3253" w:leader="none"/>
        </w:tabs>
        <w:ind w:hanging="0" w:start="1276"/>
        <w:jc w:val="start"/>
        <w:rPr/>
      </w:pPr>
      <w:r>
        <w:rPr/>
        <w:t>Deklaracja lub certyfikat zgodności z dokumentem odniesienia.</w:t>
      </w:r>
    </w:p>
    <w:p>
      <w:pPr>
        <w:pStyle w:val="Normal"/>
        <w:ind w:hanging="708" w:start="1276" w:end="294"/>
        <w:rPr/>
      </w:pPr>
      <w:r>
        <w:rPr>
          <w:i/>
        </w:rPr>
        <w:t xml:space="preserve"> </w:t>
      </w:r>
      <w:r>
        <w:rPr>
          <w:i/>
        </w:rPr>
        <w:tab/>
      </w:r>
      <w:r>
        <w:rPr>
          <w:u w:val="single" w:color="000000"/>
        </w:rPr>
        <w:t>Transport i składowanie</w:t>
      </w:r>
      <w:r>
        <w:rPr/>
        <w:t xml:space="preserve">  </w:t>
      </w:r>
    </w:p>
    <w:p>
      <w:pPr>
        <w:pStyle w:val="Normal"/>
        <w:ind w:hanging="0" w:start="1276" w:end="294"/>
        <w:rPr/>
      </w:pPr>
      <w:r>
        <w:rPr/>
        <w:t xml:space="preserve">Płytki należy przechowywać w pomieszczeniach zamkniętych, opakowania jednostkowe płytek można spiętrzać do wys. 180cm. Zawartość opakowania jednostkowego powinna wynosić około 1 m2 a płytki w opakowaniu ściśle przylegać. </w:t>
      </w:r>
    </w:p>
    <w:p>
      <w:pPr>
        <w:pStyle w:val="Heading2"/>
        <w:tabs>
          <w:tab w:val="clear" w:pos="708"/>
          <w:tab w:val="center" w:pos="1372" w:leader="none"/>
        </w:tabs>
        <w:ind w:hanging="0" w:start="1276"/>
        <w:rPr/>
      </w:pPr>
      <w:r>
        <w:rPr/>
        <w:t>Kontrola jakości</w:t>
      </w:r>
      <w:r>
        <w:rPr>
          <w:u w:val="none"/>
        </w:rPr>
        <w:t xml:space="preserve">   </w:t>
      </w:r>
    </w:p>
    <w:p>
      <w:pPr>
        <w:pStyle w:val="Normal"/>
        <w:ind w:hanging="10" w:start="1276" w:end="294"/>
        <w:rPr/>
      </w:pPr>
      <w:r>
        <w:rPr/>
        <w:t xml:space="preserve">Płytki powinny spełniać wymagania normy PN-EN 159 o parametrach  wyznaczonych na podstawie </w:t>
      </w:r>
    </w:p>
    <w:p>
      <w:pPr>
        <w:pStyle w:val="Normal"/>
        <w:ind w:hanging="10" w:start="1276" w:end="294"/>
        <w:rPr/>
      </w:pPr>
      <w:r>
        <w:rPr/>
        <w:t xml:space="preserve">PN-EN ISO 10545-3;1999  PN-EN 100  PN-EN 101  PN-EN ISO 10545-11 PN-EN ISO 10545-9  PNEN ISO 10545-14.  Materiał powinien wykazywać jednolitość barwy i wzoru na całej powierzchni i pochodzić z jednego cyklu produkcyjnego. </w:t>
      </w:r>
    </w:p>
    <w:p>
      <w:pPr>
        <w:pStyle w:val="Normal"/>
        <w:ind w:hanging="10" w:start="1276" w:end="294"/>
        <w:rPr/>
      </w:pPr>
      <w:r>
        <w:rPr/>
      </w:r>
    </w:p>
    <w:p>
      <w:pPr>
        <w:pStyle w:val="Normal"/>
        <w:ind w:hanging="10" w:start="1276" w:end="294"/>
        <w:rPr/>
      </w:pPr>
      <w:r>
        <w:rPr/>
        <w:t xml:space="preserve">Emulsja gruntująca – do podłoży, silnie chłonnych, do wiązania pyłu i powierzchniowego wzmacniania podłoży . </w:t>
      </w:r>
    </w:p>
    <w:p>
      <w:pPr>
        <w:pStyle w:val="Heading2"/>
        <w:tabs>
          <w:tab w:val="clear" w:pos="708"/>
          <w:tab w:val="center" w:pos="1415" w:leader="none"/>
        </w:tabs>
        <w:ind w:hanging="0" w:start="1276"/>
        <w:rPr/>
      </w:pPr>
      <w:r>
        <w:rPr/>
        <w:t>Warunki dostawy</w:t>
      </w:r>
      <w:r>
        <w:rPr>
          <w:u w:val="none"/>
        </w:rPr>
        <w:t xml:space="preserve"> </w:t>
      </w:r>
    </w:p>
    <w:p>
      <w:pPr>
        <w:pStyle w:val="Normal"/>
        <w:tabs>
          <w:tab w:val="clear" w:pos="708"/>
          <w:tab w:val="center" w:pos="2005" w:leader="none"/>
        </w:tabs>
        <w:ind w:hanging="0" w:start="1276"/>
        <w:jc w:val="start"/>
        <w:rPr/>
      </w:pPr>
      <w:r>
        <w:rPr/>
        <w:t xml:space="preserve">wyrób musi posiadać atest PZH </w:t>
      </w:r>
    </w:p>
    <w:p>
      <w:pPr>
        <w:pStyle w:val="Normal"/>
        <w:ind w:hanging="0" w:start="1276" w:end="294"/>
        <w:rPr/>
      </w:pPr>
      <w:r>
        <w:rPr>
          <w:u w:val="single" w:color="000000"/>
        </w:rPr>
        <w:t>Transport i składowanie</w:t>
      </w:r>
      <w:r>
        <w:rPr/>
        <w:t xml:space="preserve"> przechowywać w chłodnym i suchym miejscu w temperaturze dodatniej w oryginalnie zamkniętych opakowaniach nie dłużej niż do daty ważności. </w:t>
      </w:r>
    </w:p>
    <w:p>
      <w:pPr>
        <w:pStyle w:val="Normal"/>
        <w:ind w:hanging="10" w:start="1276" w:end="4580"/>
        <w:rPr/>
      </w:pPr>
      <w:r>
        <w:rPr/>
      </w:r>
    </w:p>
    <w:p>
      <w:pPr>
        <w:pStyle w:val="Normal"/>
        <w:ind w:hanging="10" w:start="1276" w:end="4580"/>
        <w:rPr/>
      </w:pPr>
      <w:r>
        <w:rPr/>
        <w:t xml:space="preserve">Zaprawa klejowa do płytek ceramicznych </w:t>
      </w:r>
      <w:r>
        <w:rPr>
          <w:u w:val="single" w:color="000000"/>
        </w:rPr>
        <w:t>Warunki dostawy</w:t>
      </w:r>
      <w:r>
        <w:rPr/>
        <w:t xml:space="preserve"> </w:t>
      </w:r>
    </w:p>
    <w:p>
      <w:pPr>
        <w:pStyle w:val="Normal"/>
        <w:tabs>
          <w:tab w:val="clear" w:pos="708"/>
          <w:tab w:val="center" w:pos="2879" w:leader="none"/>
        </w:tabs>
        <w:ind w:hanging="0" w:start="1276"/>
        <w:jc w:val="start"/>
        <w:rPr>
          <w:i/>
        </w:rPr>
      </w:pPr>
      <w:r>
        <w:rPr/>
        <w:t xml:space="preserve">wyrób musi posiadać atest PZH i aprobatę techniczną </w:t>
      </w:r>
    </w:p>
    <w:p>
      <w:pPr>
        <w:pStyle w:val="Heading2"/>
        <w:tabs>
          <w:tab w:val="clear" w:pos="708"/>
          <w:tab w:val="center" w:pos="1672" w:leader="none"/>
        </w:tabs>
        <w:ind w:hanging="0" w:start="1276"/>
        <w:rPr/>
      </w:pPr>
      <w:r>
        <w:rPr/>
        <w:t>Transport i składowanie</w:t>
      </w:r>
      <w:r>
        <w:rPr>
          <w:u w:val="none"/>
        </w:rPr>
        <w:t xml:space="preserve"> </w:t>
      </w:r>
    </w:p>
    <w:p>
      <w:pPr>
        <w:pStyle w:val="Normal"/>
        <w:ind w:hanging="10" w:start="1276" w:end="294"/>
        <w:rPr/>
      </w:pPr>
      <w:r>
        <w:rPr/>
        <w:t xml:space="preserve">Transport zaprawy klejowej analogicznie do wymagań dla cementu. Zaprawę klejową przechowywać w chłodnym i suchym miejscu w temperaturze dodatniej w oryginalnie zamkniętych opakowaniach nie dłużej niż do daty ważności. </w:t>
      </w:r>
    </w:p>
    <w:p>
      <w:pPr>
        <w:pStyle w:val="Normal"/>
        <w:ind w:hanging="10" w:start="1276" w:end="20"/>
        <w:rPr/>
      </w:pPr>
      <w:r>
        <w:rPr>
          <w:u w:val="single" w:color="000000"/>
        </w:rPr>
        <w:t>Kontrola jakości</w:t>
      </w:r>
      <w:r>
        <w:rPr/>
        <w:t xml:space="preserve">  wg. PN-EN12004:2002 </w:t>
      </w:r>
    </w:p>
    <w:p>
      <w:pPr>
        <w:pStyle w:val="Normal"/>
        <w:tabs>
          <w:tab w:val="clear" w:pos="708"/>
          <w:tab w:val="center" w:pos="3973" w:leader="none"/>
        </w:tabs>
        <w:ind w:hanging="0" w:start="1276"/>
        <w:jc w:val="start"/>
        <w:rPr/>
      </w:pPr>
      <w:r>
        <w:rPr/>
      </w:r>
    </w:p>
    <w:p>
      <w:pPr>
        <w:pStyle w:val="Normal"/>
        <w:tabs>
          <w:tab w:val="clear" w:pos="708"/>
          <w:tab w:val="center" w:pos="3973" w:leader="none"/>
        </w:tabs>
        <w:ind w:hanging="0" w:start="1276"/>
        <w:jc w:val="start"/>
        <w:rPr/>
      </w:pPr>
      <w:r>
        <w:rPr/>
        <w:tab/>
        <w:t xml:space="preserve">Środek ochronny do płytek – impregnat przeciw zabrudzeniom dla płytek i spoin. </w:t>
      </w:r>
    </w:p>
    <w:p>
      <w:pPr>
        <w:pStyle w:val="Normal"/>
        <w:spacing w:lineRule="auto" w:line="271" w:before="0" w:after="11"/>
        <w:ind w:hanging="708" w:start="1276" w:end="20"/>
        <w:jc w:val="start"/>
        <w:rPr/>
      </w:pPr>
      <w:r>
        <w:rPr>
          <w:i/>
        </w:rPr>
        <w:t xml:space="preserve"> </w:t>
      </w:r>
      <w:r>
        <w:rPr>
          <w:i/>
        </w:rPr>
        <w:tab/>
      </w:r>
      <w:r>
        <w:rPr>
          <w:u w:val="single" w:color="000000"/>
        </w:rPr>
        <w:t>Warunki dostawy, Transport i składowanie</w:t>
      </w:r>
      <w:r>
        <w:rPr/>
        <w:t xml:space="preserve">  </w:t>
      </w:r>
    </w:p>
    <w:p>
      <w:pPr>
        <w:pStyle w:val="Normal"/>
        <w:spacing w:lineRule="auto" w:line="271" w:before="0" w:after="11"/>
        <w:ind w:hanging="0" w:start="1276" w:end="20"/>
        <w:jc w:val="start"/>
        <w:rPr/>
      </w:pPr>
      <w:r>
        <w:rPr/>
        <w:t xml:space="preserve">jak dla innych środków chemicznych. </w:t>
      </w:r>
    </w:p>
    <w:p>
      <w:pPr>
        <w:pStyle w:val="Normal"/>
        <w:spacing w:lineRule="auto" w:line="271" w:before="0" w:after="11"/>
        <w:ind w:hanging="0" w:start="1276" w:end="20"/>
        <w:jc w:val="start"/>
        <w:rPr/>
      </w:pPr>
      <w:r>
        <w:rPr>
          <w:u w:val="single" w:color="000000"/>
        </w:rPr>
        <w:t>Kontrola jakości</w:t>
      </w:r>
      <w:r>
        <w:rPr/>
        <w:t xml:space="preserve"> </w:t>
      </w:r>
    </w:p>
    <w:p>
      <w:pPr>
        <w:pStyle w:val="Normal"/>
        <w:spacing w:lineRule="auto" w:line="271" w:before="0" w:after="11"/>
        <w:ind w:hanging="0" w:start="1276" w:end="20"/>
        <w:jc w:val="start"/>
        <w:rPr/>
      </w:pPr>
      <w:r>
        <w:rPr/>
        <w:t xml:space="preserve">należy sprawdzić datę ważności oraz atest. </w:t>
      </w:r>
    </w:p>
    <w:p>
      <w:pPr>
        <w:pStyle w:val="Normal"/>
        <w:tabs>
          <w:tab w:val="clear" w:pos="708"/>
          <w:tab w:val="center" w:pos="1112" w:leader="none"/>
        </w:tabs>
        <w:ind w:hanging="0" w:start="1276"/>
        <w:jc w:val="start"/>
        <w:rPr/>
      </w:pPr>
      <w:r>
        <w:rPr/>
        <w:t xml:space="preserve"> </w:t>
      </w:r>
      <w:r>
        <w:rPr/>
        <w:tab/>
      </w:r>
    </w:p>
    <w:p>
      <w:pPr>
        <w:pStyle w:val="Normal"/>
        <w:tabs>
          <w:tab w:val="clear" w:pos="708"/>
          <w:tab w:val="center" w:pos="1112" w:leader="none"/>
        </w:tabs>
        <w:ind w:hanging="0" w:start="1276"/>
        <w:jc w:val="start"/>
        <w:rPr>
          <w:i/>
        </w:rPr>
      </w:pPr>
      <w:r>
        <w:rPr/>
        <w:t xml:space="preserve">Akcesoria uelastyczniona masa cementowa do spoin wodoodporna. </w:t>
      </w:r>
      <w:r>
        <w:rPr>
          <w:i/>
        </w:rPr>
        <w:t xml:space="preserve"> </w:t>
        <w:tab/>
      </w:r>
    </w:p>
    <w:p>
      <w:pPr>
        <w:pStyle w:val="Normal"/>
        <w:tabs>
          <w:tab w:val="clear" w:pos="708"/>
          <w:tab w:val="center" w:pos="1112" w:leader="none"/>
        </w:tabs>
        <w:ind w:hanging="0" w:start="1276"/>
        <w:jc w:val="start"/>
        <w:rPr/>
      </w:pPr>
      <w:r>
        <w:rPr>
          <w:u w:val="single" w:color="000000"/>
        </w:rPr>
        <w:t>Warunki dostawy, Transport i składowanie, Kontrola jakości</w:t>
      </w:r>
      <w:r>
        <w:rPr/>
        <w:t xml:space="preserve"> </w:t>
      </w:r>
      <w:r>
        <w:rPr>
          <w:i/>
        </w:rPr>
        <w:t xml:space="preserve"> </w:t>
        <w:tab/>
      </w:r>
      <w:r>
        <w:rPr/>
        <w:t xml:space="preserve"> </w:t>
      </w:r>
    </w:p>
    <w:p>
      <w:pPr>
        <w:pStyle w:val="Normal"/>
        <w:tabs>
          <w:tab w:val="clear" w:pos="708"/>
          <w:tab w:val="center" w:pos="1112" w:leader="none"/>
        </w:tabs>
        <w:ind w:hanging="0" w:start="1276"/>
        <w:jc w:val="start"/>
        <w:rPr/>
      </w:pPr>
      <w:r>
        <w:rPr/>
        <w:t xml:space="preserve">jak dla zaprawy klejowej. </w:t>
      </w:r>
    </w:p>
    <w:p>
      <w:pPr>
        <w:pStyle w:val="Normal"/>
        <w:tabs>
          <w:tab w:val="clear" w:pos="708"/>
          <w:tab w:val="center" w:pos="2740" w:leader="none"/>
        </w:tabs>
        <w:ind w:hanging="0" w:start="1276"/>
        <w:jc w:val="start"/>
        <w:rPr/>
      </w:pPr>
      <w:r>
        <w:rPr/>
      </w:r>
    </w:p>
    <w:p>
      <w:pPr>
        <w:pStyle w:val="Normal"/>
        <w:tabs>
          <w:tab w:val="clear" w:pos="708"/>
          <w:tab w:val="center" w:pos="2740" w:leader="none"/>
        </w:tabs>
        <w:ind w:hanging="0" w:start="1276"/>
        <w:jc w:val="start"/>
        <w:rPr/>
      </w:pPr>
      <w:r>
        <w:rPr/>
        <w:t xml:space="preserve">Kit silikonowy do spoinowania – Silikon sanitarny </w:t>
      </w:r>
    </w:p>
    <w:p>
      <w:pPr>
        <w:pStyle w:val="Heading2"/>
        <w:tabs>
          <w:tab w:val="clear" w:pos="708"/>
          <w:tab w:val="center" w:pos="1415" w:leader="none"/>
        </w:tabs>
        <w:ind w:hanging="0" w:start="1276"/>
        <w:rPr/>
      </w:pPr>
      <w:r>
        <w:rPr>
          <w:u w:val="none"/>
        </w:rPr>
        <w:tab/>
      </w:r>
      <w:r>
        <w:rPr/>
        <w:t>Warunki dostawy</w:t>
      </w:r>
      <w:r>
        <w:rPr>
          <w:u w:val="none"/>
        </w:rPr>
        <w:t xml:space="preserve"> </w:t>
      </w:r>
    </w:p>
    <w:p>
      <w:pPr>
        <w:pStyle w:val="Normal"/>
        <w:tabs>
          <w:tab w:val="clear" w:pos="708"/>
          <w:tab w:val="center" w:pos="2005" w:leader="none"/>
        </w:tabs>
        <w:ind w:hanging="0" w:start="1276"/>
        <w:jc w:val="start"/>
        <w:rPr/>
      </w:pPr>
      <w:r>
        <w:rPr/>
        <w:t xml:space="preserve">wyrób musi posiadać atest PZH </w:t>
      </w:r>
    </w:p>
    <w:p>
      <w:pPr>
        <w:pStyle w:val="Normal"/>
        <w:ind w:hanging="10" w:start="1276" w:end="294"/>
        <w:rPr/>
      </w:pPr>
      <w:r>
        <w:rPr>
          <w:u w:val="single" w:color="000000"/>
        </w:rPr>
        <w:t>Transport i składowanie</w:t>
      </w:r>
      <w:r>
        <w:rPr/>
        <w:t xml:space="preserve"> </w:t>
      </w:r>
    </w:p>
    <w:p>
      <w:pPr>
        <w:pStyle w:val="Normal"/>
        <w:ind w:hanging="10" w:start="1276" w:end="20"/>
        <w:rPr/>
      </w:pPr>
      <w:r>
        <w:rPr/>
        <w:t xml:space="preserve">należy przestrzegać podanego przez producenta okresu ważności, kit należ przechowywać </w:t>
        <w:br/>
        <w:t xml:space="preserve">i przewozić w szczelnie zamkniętych opakowaniach, w suchych warunkach  w temperaturze +5 </w:t>
      </w:r>
      <w:r>
        <w:rPr>
          <w:vertAlign w:val="superscript"/>
        </w:rPr>
        <w:t>0</w:t>
      </w:r>
      <w:r>
        <w:rPr/>
        <w:t xml:space="preserve">C do +25 </w:t>
      </w:r>
      <w:r>
        <w:rPr>
          <w:vertAlign w:val="superscript"/>
        </w:rPr>
        <w:t>0</w:t>
      </w:r>
      <w:r>
        <w:rPr/>
        <w:t xml:space="preserve">C.  </w:t>
      </w:r>
    </w:p>
    <w:p>
      <w:pPr>
        <w:pStyle w:val="Normal"/>
        <w:ind w:hanging="10" w:start="1276" w:end="20"/>
        <w:rPr/>
      </w:pPr>
      <w:r>
        <w:rPr/>
        <w:t xml:space="preserve">Listwy wykończeniowe z aluminium – flizówki. </w:t>
      </w:r>
    </w:p>
    <w:p>
      <w:pPr>
        <w:pStyle w:val="Normal"/>
        <w:ind w:hanging="10" w:start="1276" w:end="20"/>
        <w:rPr/>
      </w:pPr>
      <w:r>
        <w:rPr/>
      </w:r>
    </w:p>
    <w:p>
      <w:pPr>
        <w:pStyle w:val="Normal"/>
        <w:tabs>
          <w:tab w:val="clear" w:pos="708"/>
          <w:tab w:val="center" w:pos="1847" w:leader="none"/>
        </w:tabs>
        <w:spacing w:before="0" w:after="38"/>
        <w:ind w:hanging="567" w:start="1276"/>
        <w:jc w:val="start"/>
        <w:rPr/>
      </w:pPr>
      <w:r>
        <w:rPr/>
        <w:t xml:space="preserve">2.2.6. </w:t>
        <w:tab/>
        <w:t xml:space="preserve">Posadzki – wykładzina PCV </w:t>
      </w:r>
    </w:p>
    <w:p>
      <w:pPr>
        <w:pStyle w:val="Normal"/>
        <w:tabs>
          <w:tab w:val="clear" w:pos="708"/>
          <w:tab w:val="center" w:pos="2186" w:leader="none"/>
        </w:tabs>
        <w:ind w:hanging="0" w:start="1276"/>
        <w:rPr/>
      </w:pPr>
      <w:r>
        <w:rPr/>
        <w:t>Wykładzina wielowarstwowa grubości min 2,2 mm, homogeniczna, wzmocniona fabrycznie warstwą ochronną poliuretanu, waga 2,8 kg/m</w:t>
      </w:r>
      <w:r>
        <w:rPr>
          <w:vertAlign w:val="superscript"/>
        </w:rPr>
        <w:t>2</w:t>
      </w:r>
      <w:r>
        <w:rPr/>
        <w:t xml:space="preserve">, o odporności na ścieranie (EN 660) w grupie P i T, </w:t>
        <w:br/>
        <w:t xml:space="preserve">o </w:t>
      </w:r>
      <w:r>
        <w:rPr>
          <w:color w:val="auto"/>
        </w:rPr>
        <w:t>odporności ogniowej ( DIN 4102) B1, o przewodnictwie (DIN 52612) 10</w:t>
      </w:r>
      <w:r>
        <w:rPr>
          <w:color w:val="auto"/>
          <w:vertAlign w:val="superscript"/>
        </w:rPr>
        <w:t>10</w:t>
      </w:r>
      <w:r>
        <w:rPr>
          <w:color w:val="auto"/>
        </w:rPr>
        <w:t xml:space="preserve"> i (10</w:t>
      </w:r>
      <w:r>
        <w:rPr>
          <w:color w:val="auto"/>
          <w:vertAlign w:val="superscript"/>
        </w:rPr>
        <w:t>9</w:t>
      </w:r>
      <w:r>
        <w:rPr>
          <w:color w:val="auto"/>
        </w:rPr>
        <w:t>), światłoodporności ( DIN 53389) &gt; 7</w:t>
      </w:r>
      <w:r>
        <w:rPr/>
        <w:t xml:space="preserve"> , antystatyczna.  Przed zakupem należy uzgodnić kolorystykę z Zamawiającym.</w:t>
      </w:r>
    </w:p>
    <w:p>
      <w:pPr>
        <w:pStyle w:val="Normal"/>
        <w:ind w:hanging="10" w:start="1276"/>
        <w:rPr/>
      </w:pPr>
      <w:r>
        <w:rPr/>
      </w:r>
    </w:p>
    <w:p>
      <w:pPr>
        <w:pStyle w:val="Normal"/>
        <w:tabs>
          <w:tab w:val="clear" w:pos="708"/>
          <w:tab w:val="center" w:pos="1415" w:leader="none"/>
        </w:tabs>
        <w:spacing w:lineRule="auto" w:line="269" w:before="0" w:after="16"/>
        <w:ind w:hanging="0" w:start="1276"/>
        <w:jc w:val="start"/>
        <w:rPr/>
      </w:pPr>
      <w:r>
        <w:rPr>
          <w:i/>
        </w:rPr>
        <w:t xml:space="preserve"> </w:t>
      </w:r>
      <w:r>
        <w:rPr>
          <w:i/>
        </w:rPr>
        <w:tab/>
      </w:r>
      <w:r>
        <w:rPr>
          <w:u w:val="single" w:color="000000"/>
        </w:rPr>
        <w:t>Warunki dostawy</w:t>
      </w:r>
      <w:r>
        <w:rPr/>
        <w:t xml:space="preserve">  </w:t>
      </w:r>
    </w:p>
    <w:p>
      <w:pPr>
        <w:pStyle w:val="Normal"/>
        <w:tabs>
          <w:tab w:val="clear" w:pos="708"/>
          <w:tab w:val="center" w:pos="3227" w:leader="none"/>
        </w:tabs>
        <w:ind w:hanging="0" w:start="1276"/>
        <w:jc w:val="start"/>
        <w:rPr/>
      </w:pPr>
      <w:r>
        <w:rPr/>
        <w:t xml:space="preserve"> </w:t>
      </w:r>
      <w:r>
        <w:rPr/>
        <w:tab/>
        <w:t xml:space="preserve">Deklaracja lub certyfikat zgodności z dokumentem odniesienia </w:t>
      </w:r>
    </w:p>
    <w:p>
      <w:pPr>
        <w:pStyle w:val="Normal"/>
        <w:spacing w:lineRule="auto" w:line="269" w:before="0" w:after="16"/>
        <w:ind w:hanging="10" w:start="1276"/>
        <w:jc w:val="start"/>
        <w:rPr/>
      </w:pPr>
      <w:r>
        <w:rPr>
          <w:u w:val="single" w:color="000000"/>
        </w:rPr>
        <w:t>Transport i składowanie</w:t>
      </w:r>
      <w:r>
        <w:rPr/>
        <w:t xml:space="preserve"> </w:t>
      </w:r>
    </w:p>
    <w:p>
      <w:pPr>
        <w:pStyle w:val="Normal"/>
        <w:ind w:hanging="10" w:start="1276" w:end="294"/>
        <w:rPr/>
      </w:pPr>
      <w:r>
        <w:rPr/>
        <w:t xml:space="preserve">Wykładzina składane w rolkach 25 m x 2 m zgodnie z zaleceniami producenta..  </w:t>
      </w:r>
    </w:p>
    <w:p>
      <w:pPr>
        <w:pStyle w:val="Heading2"/>
        <w:tabs>
          <w:tab w:val="clear" w:pos="708"/>
          <w:tab w:val="center" w:pos="1372" w:leader="none"/>
        </w:tabs>
        <w:ind w:hanging="0" w:start="1276"/>
        <w:rPr/>
      </w:pPr>
      <w:r>
        <w:rPr>
          <w:i/>
          <w:u w:val="none"/>
        </w:rPr>
        <w:t xml:space="preserve"> </w:t>
      </w:r>
      <w:r>
        <w:rPr>
          <w:i/>
          <w:u w:val="none"/>
        </w:rPr>
        <w:tab/>
      </w:r>
      <w:r>
        <w:rPr/>
        <w:t>Kontrola jakości</w:t>
      </w:r>
      <w:r>
        <w:rPr>
          <w:u w:val="none"/>
        </w:rPr>
        <w:t xml:space="preserve"> </w:t>
      </w:r>
    </w:p>
    <w:p>
      <w:pPr>
        <w:pStyle w:val="Normal"/>
        <w:ind w:hanging="10" w:start="1276" w:end="294"/>
        <w:rPr/>
      </w:pPr>
      <w:r>
        <w:rPr/>
        <w:t xml:space="preserve">Materiał powinien wykazywać jednolitość barwy i wzoru na całej powierzchni i pochodzić </w:t>
        <w:br/>
        <w:t xml:space="preserve">z jednego cyklu produkcyjnego , cechy zgodne z aprobata techniczną </w:t>
      </w:r>
    </w:p>
    <w:p>
      <w:pPr>
        <w:pStyle w:val="Normal"/>
        <w:tabs>
          <w:tab w:val="clear" w:pos="708"/>
          <w:tab w:val="center" w:pos="1165" w:leader="none"/>
        </w:tabs>
        <w:ind w:hanging="0" w:start="1276"/>
        <w:jc w:val="start"/>
        <w:rPr/>
      </w:pPr>
      <w:r>
        <w:rPr/>
        <w:t xml:space="preserve"> </w:t>
      </w:r>
    </w:p>
    <w:p>
      <w:pPr>
        <w:pStyle w:val="Normal"/>
        <w:tabs>
          <w:tab w:val="clear" w:pos="708"/>
          <w:tab w:val="center" w:pos="1165" w:leader="none"/>
        </w:tabs>
        <w:ind w:hanging="0" w:start="1276"/>
        <w:jc w:val="start"/>
        <w:rPr/>
      </w:pPr>
      <w:r>
        <w:rPr/>
        <w:t xml:space="preserve">Akcesoria : </w:t>
      </w:r>
    </w:p>
    <w:p>
      <w:pPr>
        <w:pStyle w:val="Normal"/>
        <w:tabs>
          <w:tab w:val="clear" w:pos="708"/>
          <w:tab w:val="center" w:pos="2257" w:leader="none"/>
        </w:tabs>
        <w:ind w:hanging="0" w:start="1276"/>
        <w:jc w:val="start"/>
        <w:rPr/>
      </w:pPr>
      <w:r>
        <w:rPr/>
        <w:tab/>
        <w:t xml:space="preserve">Klej do wykładzin, sznur spawalniczy  </w:t>
      </w:r>
    </w:p>
    <w:p>
      <w:pPr>
        <w:pStyle w:val="Normal"/>
        <w:tabs>
          <w:tab w:val="clear" w:pos="708"/>
          <w:tab w:val="center" w:pos="2257" w:leader="none"/>
        </w:tabs>
        <w:ind w:hanging="0" w:start="1276"/>
        <w:jc w:val="start"/>
        <w:rPr/>
      </w:pPr>
      <w:r>
        <w:rPr/>
      </w:r>
    </w:p>
    <w:p>
      <w:pPr>
        <w:pStyle w:val="Normal"/>
        <w:ind w:hanging="709" w:start="1276" w:end="294"/>
        <w:rPr/>
      </w:pPr>
      <w:r>
        <w:rPr/>
        <w:t xml:space="preserve">2.2.7.   Posadzki – wykładziny dywanowe -  kod CPV – 45432100-5 </w:t>
      </w:r>
    </w:p>
    <w:p>
      <w:pPr>
        <w:pStyle w:val="Normal"/>
        <w:tabs>
          <w:tab w:val="clear" w:pos="708"/>
          <w:tab w:val="center" w:pos="2186" w:leader="none"/>
        </w:tabs>
        <w:ind w:hanging="0" w:start="1134"/>
        <w:rPr/>
      </w:pPr>
      <w:r>
        <w:rPr/>
        <w:t xml:space="preserve">Wykładziny dywanowe muszą spełniać wymagania do zastosowania w budynkach użyteczności publicznej, wykładziny np. firmy Tarkett. Przed zakupem należy uzgodnić kolorystykę </w:t>
        <w:br/>
        <w:t>z Zamawiającym.</w:t>
      </w:r>
    </w:p>
    <w:p>
      <w:pPr>
        <w:pStyle w:val="Normal"/>
        <w:ind w:hanging="10" w:start="1134" w:end="294"/>
        <w:rPr/>
      </w:pPr>
      <w:r>
        <w:rPr/>
      </w:r>
    </w:p>
    <w:p>
      <w:pPr>
        <w:pStyle w:val="Normal"/>
        <w:tabs>
          <w:tab w:val="clear" w:pos="708"/>
          <w:tab w:val="center" w:pos="1415" w:leader="none"/>
        </w:tabs>
        <w:spacing w:lineRule="auto" w:line="269" w:before="0" w:after="16"/>
        <w:ind w:hanging="0" w:start="1134"/>
        <w:jc w:val="start"/>
        <w:rPr/>
      </w:pPr>
      <w:r>
        <w:rPr>
          <w:u w:val="single" w:color="000000"/>
        </w:rPr>
        <w:t>Warunki dostawy</w:t>
      </w:r>
      <w:r>
        <w:rPr/>
        <w:t xml:space="preserve">  </w:t>
      </w:r>
    </w:p>
    <w:p>
      <w:pPr>
        <w:pStyle w:val="Normal"/>
        <w:tabs>
          <w:tab w:val="clear" w:pos="708"/>
          <w:tab w:val="center" w:pos="3227" w:leader="none"/>
        </w:tabs>
        <w:ind w:hanging="0" w:start="1134"/>
        <w:jc w:val="start"/>
        <w:rPr/>
      </w:pPr>
      <w:r>
        <w:rPr/>
        <w:t xml:space="preserve">Deklaracja lub certyfikat zgodności z dokumentem odniesienia </w:t>
      </w:r>
    </w:p>
    <w:p>
      <w:pPr>
        <w:pStyle w:val="Heading2"/>
        <w:ind w:hanging="10" w:start="1134"/>
        <w:rPr/>
      </w:pPr>
      <w:r>
        <w:rPr/>
        <w:t>Transport i składowanie</w:t>
      </w:r>
      <w:r>
        <w:rPr>
          <w:u w:val="none"/>
        </w:rPr>
        <w:t xml:space="preserve"> </w:t>
      </w:r>
    </w:p>
    <w:p>
      <w:pPr>
        <w:pStyle w:val="Normal"/>
        <w:ind w:hanging="10" w:start="1134" w:end="294"/>
        <w:rPr/>
      </w:pPr>
      <w:r>
        <w:rPr/>
        <w:t xml:space="preserve">Wykładzina składana w rulonach zgodnie z zaleceniami producenta.. Składowanie w opakowaniach złożonych w stosy w pomieszczeniach suchych  </w:t>
      </w:r>
    </w:p>
    <w:p>
      <w:pPr>
        <w:pStyle w:val="Heading2"/>
        <w:tabs>
          <w:tab w:val="clear" w:pos="708"/>
          <w:tab w:val="center" w:pos="1372" w:leader="none"/>
        </w:tabs>
        <w:ind w:hanging="0" w:start="1134"/>
        <w:rPr/>
      </w:pPr>
      <w:r>
        <w:rPr/>
        <w:t>Kontrola jakości</w:t>
      </w:r>
      <w:r>
        <w:rPr>
          <w:u w:val="none"/>
        </w:rPr>
        <w:t xml:space="preserve"> </w:t>
      </w:r>
    </w:p>
    <w:p>
      <w:pPr>
        <w:pStyle w:val="Normal"/>
        <w:ind w:hanging="10" w:start="1134" w:end="294"/>
        <w:rPr/>
      </w:pPr>
      <w:r>
        <w:rPr/>
        <w:t xml:space="preserve"> </w:t>
      </w:r>
      <w:r>
        <w:rPr/>
        <w:t xml:space="preserve">Materiał powinien wykazywać jednolitość barwy i wzoru na całej powierzchni i pochodzić </w:t>
        <w:br/>
        <w:t>z jednego cyklu produkcyjnego, cechy zgodne z aprobata techniczną.</w:t>
      </w:r>
    </w:p>
    <w:p>
      <w:pPr>
        <w:pStyle w:val="Normal"/>
        <w:ind w:hanging="10" w:start="1134" w:end="294"/>
        <w:rPr/>
      </w:pPr>
      <w:r>
        <w:rPr/>
      </w:r>
    </w:p>
    <w:p>
      <w:pPr>
        <w:pStyle w:val="Normal"/>
        <w:ind w:hanging="567" w:start="1134" w:end="294"/>
        <w:rPr/>
      </w:pPr>
      <w:r>
        <w:rPr/>
        <w:t xml:space="preserve">2.2.8.  Posadzki – panele podłogowe -  kod CPV – 45432100-5 </w:t>
      </w:r>
    </w:p>
    <w:p>
      <w:pPr>
        <w:pStyle w:val="Normal"/>
        <w:ind w:hanging="10" w:start="1134" w:end="20"/>
        <w:rPr/>
      </w:pPr>
      <w:r>
        <w:rPr/>
        <w:t xml:space="preserve">Panele podłogowe muszą odpowiadać celowi zastosowania , powinny stanowić konstrukcję zapewniającą nie odkształcalność płyt , powierzchnia licowa fabrycznie wykończona , wilgotność 8 % </w:t>
      </w:r>
    </w:p>
    <w:p>
      <w:pPr>
        <w:pStyle w:val="Normal"/>
        <w:ind w:hanging="10" w:start="1134" w:end="20"/>
        <w:rPr/>
      </w:pPr>
      <w:r>
        <w:rPr>
          <w:rFonts w:eastAsia="Segoe UI Symbol" w:cs="Segoe UI Symbol" w:ascii="Segoe UI Symbol" w:hAnsi="Segoe UI Symbol"/>
        </w:rPr>
        <w:t>±</w:t>
      </w:r>
      <w:r>
        <w:rPr/>
        <w:t xml:space="preserve"> 2 % , panele podłogowe o ścieralności 17 000 cykli </w:t>
      </w:r>
    </w:p>
    <w:p>
      <w:pPr>
        <w:pStyle w:val="Normal"/>
        <w:tabs>
          <w:tab w:val="clear" w:pos="708"/>
          <w:tab w:val="center" w:pos="1415" w:leader="none"/>
        </w:tabs>
        <w:spacing w:lineRule="auto" w:line="269" w:before="0" w:after="16"/>
        <w:ind w:hanging="0" w:start="1134" w:end="20"/>
        <w:jc w:val="start"/>
        <w:rPr/>
      </w:pPr>
      <w:r>
        <w:rPr>
          <w:u w:val="single" w:color="000000"/>
        </w:rPr>
        <w:t>Warunki dostawy</w:t>
      </w:r>
      <w:r>
        <w:rPr/>
        <w:t xml:space="preserve">  </w:t>
      </w:r>
    </w:p>
    <w:p>
      <w:pPr>
        <w:pStyle w:val="Normal"/>
        <w:tabs>
          <w:tab w:val="clear" w:pos="708"/>
          <w:tab w:val="center" w:pos="3227" w:leader="none"/>
        </w:tabs>
        <w:ind w:hanging="0" w:start="1134" w:end="20"/>
        <w:jc w:val="start"/>
        <w:rPr/>
      </w:pPr>
      <w:r>
        <w:rPr/>
        <w:t xml:space="preserve">Deklaracja lub certyfikat zgodności z dokumentem odniesienia </w:t>
      </w:r>
    </w:p>
    <w:p>
      <w:pPr>
        <w:pStyle w:val="Heading2"/>
        <w:ind w:hanging="10" w:start="1134" w:end="20"/>
        <w:rPr/>
      </w:pPr>
      <w:r>
        <w:rPr/>
        <w:t>Transport i składowanie</w:t>
      </w:r>
      <w:r>
        <w:rPr>
          <w:u w:val="none"/>
        </w:rPr>
        <w:t xml:space="preserve"> </w:t>
      </w:r>
    </w:p>
    <w:p>
      <w:pPr>
        <w:pStyle w:val="Normal"/>
        <w:ind w:hanging="10" w:start="1134" w:end="20"/>
        <w:rPr/>
      </w:pPr>
      <w:r>
        <w:rPr/>
        <w:t xml:space="preserve">panele składane w paczkach zgodnie z zaleceniami producenta.. Składowanie w opakowaniach złożonych w stosy w pomieszczeniach suchych  </w:t>
      </w:r>
    </w:p>
    <w:p>
      <w:pPr>
        <w:pStyle w:val="Heading2"/>
        <w:tabs>
          <w:tab w:val="clear" w:pos="708"/>
          <w:tab w:val="center" w:pos="1372" w:leader="none"/>
        </w:tabs>
        <w:ind w:hanging="0" w:start="1134" w:end="20"/>
        <w:rPr/>
      </w:pPr>
      <w:r>
        <w:rPr>
          <w:i/>
          <w:u w:val="none"/>
        </w:rPr>
        <w:tab/>
      </w:r>
      <w:r>
        <w:rPr/>
        <w:t>Kontrola jakości</w:t>
      </w:r>
      <w:r>
        <w:rPr>
          <w:u w:val="none"/>
        </w:rPr>
        <w:t xml:space="preserve"> </w:t>
      </w:r>
    </w:p>
    <w:p>
      <w:pPr>
        <w:pStyle w:val="Normal"/>
        <w:ind w:hanging="10" w:start="1134" w:end="20"/>
        <w:rPr/>
      </w:pPr>
      <w:r>
        <w:rPr/>
        <w:t xml:space="preserve"> </w:t>
      </w:r>
      <w:r>
        <w:rPr/>
        <w:t>Materiał powinien wykazywać jednolitość barwy i wzoru na całej powierzchni i pochodzić z jednego cyklu produkcyjnego , cechy zgodne z aprobata techniczną.</w:t>
      </w:r>
    </w:p>
    <w:p>
      <w:pPr>
        <w:pStyle w:val="Normal"/>
        <w:ind w:hanging="10" w:start="1134" w:end="20"/>
        <w:rPr/>
      </w:pPr>
      <w:r>
        <w:rPr/>
      </w:r>
    </w:p>
    <w:p>
      <w:pPr>
        <w:pStyle w:val="Normal"/>
        <w:ind w:hanging="567" w:start="1134" w:end="294"/>
        <w:rPr/>
      </w:pPr>
      <w:r>
        <w:rPr/>
        <w:t xml:space="preserve">2.2.9.   Podłoża pod posadzki – kod CPV 45262321-7 </w:t>
      </w:r>
    </w:p>
    <w:p>
      <w:pPr>
        <w:pStyle w:val="Normal"/>
        <w:tabs>
          <w:tab w:val="clear" w:pos="708"/>
          <w:tab w:val="center" w:pos="3147" w:leader="none"/>
        </w:tabs>
        <w:ind w:hanging="0" w:start="1134"/>
        <w:jc w:val="start"/>
        <w:rPr/>
      </w:pPr>
      <w:r>
        <w:rPr/>
        <w:t xml:space="preserve"> </w:t>
      </w:r>
      <w:r>
        <w:rPr/>
        <w:tab/>
        <w:t xml:space="preserve">Samopoziomująca masa szpachlowa – kod CPV 45262321-7 </w:t>
      </w:r>
    </w:p>
    <w:p>
      <w:pPr>
        <w:pStyle w:val="Heading2"/>
        <w:tabs>
          <w:tab w:val="clear" w:pos="708"/>
          <w:tab w:val="center" w:pos="1415" w:leader="none"/>
        </w:tabs>
        <w:ind w:hanging="0" w:start="1134"/>
        <w:rPr/>
      </w:pPr>
      <w:r>
        <w:rPr>
          <w:i/>
          <w:u w:val="none"/>
        </w:rPr>
        <w:t xml:space="preserve"> </w:t>
      </w:r>
      <w:r>
        <w:rPr>
          <w:i/>
          <w:u w:val="none"/>
        </w:rPr>
        <w:tab/>
      </w:r>
      <w:r>
        <w:rPr/>
        <w:t>Warunki dostawy</w:t>
      </w:r>
      <w:r>
        <w:rPr>
          <w:u w:val="none"/>
        </w:rPr>
        <w:t xml:space="preserve"> </w:t>
      </w:r>
    </w:p>
    <w:p>
      <w:pPr>
        <w:pStyle w:val="Normal"/>
        <w:tabs>
          <w:tab w:val="clear" w:pos="708"/>
          <w:tab w:val="center" w:pos="3253" w:leader="none"/>
        </w:tabs>
        <w:ind w:hanging="0" w:start="1134"/>
        <w:jc w:val="start"/>
        <w:rPr/>
      </w:pPr>
      <w:r>
        <w:rPr>
          <w:i/>
        </w:rPr>
        <w:t xml:space="preserve"> </w:t>
      </w:r>
      <w:r>
        <w:rPr/>
        <w:t xml:space="preserve">Deklaracja lub certyfikat zgodności z dokumentem odniesienia, </w:t>
      </w:r>
    </w:p>
    <w:p>
      <w:pPr>
        <w:pStyle w:val="Normal"/>
        <w:spacing w:lineRule="auto" w:line="271" w:before="0" w:after="11"/>
        <w:ind w:hanging="10" w:start="1134" w:end="20"/>
        <w:jc w:val="start"/>
        <w:rPr/>
      </w:pPr>
      <w:r>
        <w:rPr>
          <w:u w:val="single" w:color="000000"/>
        </w:rPr>
        <w:t>Transport i składowanie</w:t>
      </w:r>
      <w:r>
        <w:rPr/>
        <w:t xml:space="preserve">  </w:t>
      </w:r>
    </w:p>
    <w:p>
      <w:pPr>
        <w:pStyle w:val="Normal"/>
        <w:spacing w:lineRule="auto" w:line="271" w:before="0" w:after="11"/>
        <w:ind w:hanging="10" w:start="1134" w:end="20"/>
        <w:jc w:val="start"/>
        <w:rPr/>
      </w:pPr>
      <w:r>
        <w:rPr/>
        <w:t xml:space="preserve">wg karty informacyjnej producenta </w:t>
      </w:r>
    </w:p>
    <w:p>
      <w:pPr>
        <w:pStyle w:val="Normal"/>
        <w:spacing w:lineRule="auto" w:line="271" w:before="0" w:after="11"/>
        <w:ind w:hanging="10" w:start="1134" w:end="20"/>
        <w:jc w:val="start"/>
        <w:rPr/>
      </w:pPr>
      <w:r>
        <w:rPr>
          <w:i/>
        </w:rPr>
        <w:t xml:space="preserve"> </w:t>
      </w:r>
      <w:r>
        <w:rPr>
          <w:u w:val="single" w:color="000000"/>
        </w:rPr>
        <w:t>Kontrola jakości</w:t>
      </w:r>
      <w:r>
        <w:rPr/>
        <w:t xml:space="preserve">  </w:t>
        <w:tab/>
      </w:r>
    </w:p>
    <w:p>
      <w:pPr>
        <w:pStyle w:val="Normal"/>
        <w:spacing w:lineRule="auto" w:line="271" w:before="0" w:after="11"/>
        <w:ind w:hanging="10" w:start="1134" w:end="20"/>
        <w:jc w:val="start"/>
        <w:rPr/>
      </w:pPr>
      <w:r>
        <w:rPr/>
        <w:t xml:space="preserve">wg gwarancji producenta. </w:t>
      </w:r>
    </w:p>
    <w:p>
      <w:pPr>
        <w:pStyle w:val="Normal"/>
        <w:tabs>
          <w:tab w:val="clear" w:pos="708"/>
          <w:tab w:val="center" w:pos="1165" w:leader="none"/>
        </w:tabs>
        <w:ind w:hanging="0" w:start="1134" w:end="20"/>
        <w:jc w:val="start"/>
        <w:rPr/>
      </w:pPr>
      <w:r>
        <w:rPr/>
        <w:t xml:space="preserve">Akcesoria : </w:t>
      </w:r>
    </w:p>
    <w:p>
      <w:pPr>
        <w:pStyle w:val="Normal"/>
        <w:tabs>
          <w:tab w:val="clear" w:pos="708"/>
          <w:tab w:val="center" w:pos="1934" w:leader="none"/>
        </w:tabs>
        <w:ind w:hanging="0" w:start="1134" w:end="20"/>
        <w:jc w:val="start"/>
        <w:rPr/>
      </w:pPr>
      <w:r>
        <w:rPr/>
        <w:t xml:space="preserve">Taśmy lub profile dylatacyjne. </w:t>
      </w:r>
    </w:p>
    <w:p>
      <w:pPr>
        <w:pStyle w:val="Normal"/>
        <w:tabs>
          <w:tab w:val="clear" w:pos="708"/>
          <w:tab w:val="center" w:pos="1934" w:leader="none"/>
        </w:tabs>
        <w:ind w:hanging="0" w:start="1134" w:end="20"/>
        <w:jc w:val="start"/>
        <w:rPr/>
      </w:pPr>
      <w:r>
        <w:rPr/>
      </w:r>
    </w:p>
    <w:p>
      <w:pPr>
        <w:pStyle w:val="Normal"/>
        <w:ind w:hanging="577" w:start="1134" w:end="294"/>
        <w:rPr/>
      </w:pPr>
      <w:r>
        <w:rPr/>
        <w:t xml:space="preserve">2.2.10. Stolarka drzwiowa  </w:t>
      </w:r>
    </w:p>
    <w:p>
      <w:pPr>
        <w:pStyle w:val="Normal"/>
        <w:ind w:hanging="10" w:start="1134" w:end="294"/>
        <w:rPr/>
      </w:pPr>
      <w:r>
        <w:rPr/>
        <w:t>Drzwi drewniane o podwyższonej izolacyjności akustycznej z ościeżnicami metalowymi wg zestawienia i przedmiaru. Okleina CPL.</w:t>
      </w:r>
    </w:p>
    <w:p>
      <w:pPr>
        <w:pStyle w:val="Heading2"/>
        <w:tabs>
          <w:tab w:val="clear" w:pos="708"/>
          <w:tab w:val="center" w:pos="1415" w:leader="none"/>
        </w:tabs>
        <w:ind w:hanging="0" w:start="1134"/>
        <w:rPr/>
      </w:pPr>
      <w:r>
        <w:rPr/>
        <w:t>Warunki dostawy</w:t>
      </w:r>
      <w:r>
        <w:rPr>
          <w:u w:val="none"/>
        </w:rPr>
        <w:t xml:space="preserve"> </w:t>
      </w:r>
    </w:p>
    <w:p>
      <w:pPr>
        <w:pStyle w:val="Normal"/>
        <w:ind w:hanging="10" w:start="1134" w:end="294"/>
        <w:rPr/>
      </w:pPr>
      <w:r>
        <w:rPr/>
        <w:t xml:space="preserve">Dostawca drzwi i ościeży powinien posiadać wszelkie wymagane prawem budowlanym aprobaty, atesty oraz certyfikaty na wyrób i jego elementy. </w:t>
      </w:r>
    </w:p>
    <w:p>
      <w:pPr>
        <w:pStyle w:val="Heading2"/>
        <w:ind w:hanging="10" w:start="1134" w:end="20"/>
        <w:rPr>
          <w:i/>
          <w:u w:val="none"/>
        </w:rPr>
      </w:pPr>
      <w:r>
        <w:rPr/>
        <w:t>Transport i składowanie</w:t>
      </w:r>
      <w:r>
        <w:rPr>
          <w:u w:val="none"/>
        </w:rPr>
        <w:t xml:space="preserve"> </w:t>
      </w:r>
      <w:r>
        <w:rPr>
          <w:i/>
          <w:u w:val="none"/>
        </w:rPr>
        <w:t xml:space="preserve"> </w:t>
        <w:tab/>
      </w:r>
    </w:p>
    <w:p>
      <w:pPr>
        <w:pStyle w:val="Heading2"/>
        <w:ind w:hanging="10" w:start="1134" w:end="20"/>
        <w:rPr>
          <w:i/>
          <w:u w:val="none"/>
        </w:rPr>
      </w:pPr>
      <w:r>
        <w:rPr>
          <w:u w:val="none"/>
        </w:rPr>
        <w:t xml:space="preserve">wg PN-B-05000:1996 </w:t>
      </w:r>
      <w:r>
        <w:rPr>
          <w:i/>
          <w:u w:val="none"/>
        </w:rPr>
        <w:t xml:space="preserve"> </w:t>
      </w:r>
    </w:p>
    <w:p>
      <w:pPr>
        <w:pStyle w:val="Heading2"/>
        <w:ind w:hanging="10" w:start="1134" w:end="20"/>
        <w:rPr/>
      </w:pPr>
      <w:r>
        <w:rPr/>
        <w:t>Kontrola jakości</w:t>
      </w:r>
      <w:r>
        <w:rPr>
          <w:u w:val="none"/>
        </w:rPr>
        <w:t xml:space="preserve"> </w:t>
      </w:r>
    </w:p>
    <w:p>
      <w:pPr>
        <w:pStyle w:val="Normal"/>
        <w:ind w:hanging="10" w:start="1134" w:end="20"/>
        <w:rPr/>
      </w:pPr>
      <w:r>
        <w:rPr/>
        <w:t xml:space="preserve">wg PN-88/B-10085, PN-88/B-10085Az2:1997, PN-88/B10085Az3:2001  </w:t>
      </w:r>
    </w:p>
    <w:p>
      <w:pPr>
        <w:pStyle w:val="Normal"/>
        <w:ind w:hanging="10" w:start="1134" w:end="20"/>
        <w:rPr/>
      </w:pPr>
      <w:r>
        <w:rPr/>
        <w:t xml:space="preserve">Akcesoria montażowe :  </w:t>
      </w:r>
    </w:p>
    <w:p>
      <w:pPr>
        <w:pStyle w:val="Normal"/>
        <w:ind w:hanging="10" w:start="1134" w:end="20"/>
        <w:rPr/>
      </w:pPr>
      <w:r>
        <w:rPr/>
        <w:t xml:space="preserve">Pianka montażowa,   kotwy montażowe, </w:t>
      </w:r>
    </w:p>
    <w:p>
      <w:pPr>
        <w:pStyle w:val="Normal"/>
        <w:ind w:hanging="10" w:start="1134" w:end="20"/>
        <w:rPr>
          <w:i/>
        </w:rPr>
      </w:pPr>
      <w:r>
        <w:rPr/>
        <w:t xml:space="preserve"> </w:t>
      </w:r>
      <w:r>
        <w:rPr/>
        <w:t xml:space="preserve">wkręty ze stali nierdzewnej,  </w:t>
        <w:tab/>
        <w:t>tuleje rozprężne do materiałów o niskiej gęstości</w:t>
      </w:r>
      <w:r>
        <w:rPr>
          <w:i/>
        </w:rPr>
        <w:t xml:space="preserve"> </w:t>
      </w:r>
    </w:p>
    <w:p>
      <w:pPr>
        <w:pStyle w:val="Normal"/>
        <w:ind w:hanging="10" w:start="1134" w:end="20"/>
        <w:rPr/>
      </w:pPr>
      <w:r>
        <w:rPr/>
      </w:r>
    </w:p>
    <w:p>
      <w:pPr>
        <w:pStyle w:val="Normal"/>
        <w:ind w:hanging="10" w:start="10" w:end="294"/>
        <w:rPr/>
      </w:pPr>
      <w:r>
        <w:rPr/>
        <w:t xml:space="preserve">3.Sprzęt </w:t>
      </w:r>
    </w:p>
    <w:p>
      <w:pPr>
        <w:pStyle w:val="Normal"/>
        <w:ind w:hanging="425" w:start="709" w:end="294"/>
        <w:rPr/>
      </w:pPr>
      <w:r>
        <w:rPr/>
        <w:t xml:space="preserve">3.1.  Ogólne wymagania dotyczące sprzętu </w:t>
      </w:r>
    </w:p>
    <w:p>
      <w:pPr>
        <w:pStyle w:val="Normal"/>
        <w:tabs>
          <w:tab w:val="clear" w:pos="708"/>
          <w:tab w:val="center" w:pos="3863" w:leader="none"/>
        </w:tabs>
        <w:ind w:hanging="10" w:start="709"/>
        <w:jc w:val="start"/>
        <w:rPr/>
      </w:pPr>
      <w:r>
        <w:rPr/>
        <w:t xml:space="preserve">Ogólne wymagania dotyczące sprzętu są zawarte w ST 1.  Wymagania ogólne. </w:t>
      </w:r>
    </w:p>
    <w:p>
      <w:pPr>
        <w:pStyle w:val="Normal"/>
        <w:tabs>
          <w:tab w:val="clear" w:pos="708"/>
          <w:tab w:val="center" w:pos="3863" w:leader="none"/>
        </w:tabs>
        <w:ind w:hanging="10" w:start="709"/>
        <w:jc w:val="start"/>
        <w:rPr/>
      </w:pPr>
      <w:r>
        <w:rPr/>
      </w:r>
    </w:p>
    <w:p>
      <w:pPr>
        <w:pStyle w:val="Normal"/>
        <w:ind w:hanging="425" w:start="709" w:end="294"/>
        <w:rPr/>
      </w:pPr>
      <w:r>
        <w:rPr/>
        <w:t xml:space="preserve">3.2.  Szczególne wymagania dotyczące sprzętu </w:t>
      </w:r>
    </w:p>
    <w:p>
      <w:pPr>
        <w:pStyle w:val="Normal"/>
        <w:ind w:hanging="10" w:start="704" w:end="294"/>
        <w:rPr/>
      </w:pPr>
      <w:r>
        <w:rPr/>
        <w:t xml:space="preserve">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sprzętu itp. Sprzęt używany przez wykonawcę powinien uzyskać akceptację Inspektor nadzoru. </w:t>
      </w:r>
    </w:p>
    <w:p>
      <w:pPr>
        <w:pStyle w:val="Normal"/>
        <w:ind w:hanging="10" w:start="704" w:end="294"/>
        <w:rPr/>
      </w:pPr>
      <w:r>
        <w:rPr/>
      </w:r>
    </w:p>
    <w:p>
      <w:pPr>
        <w:pStyle w:val="Normal"/>
        <w:ind w:hanging="10" w:start="10" w:end="294"/>
        <w:rPr/>
      </w:pPr>
      <w:r>
        <w:rPr/>
        <w:t xml:space="preserve">4.Transport  </w:t>
      </w:r>
    </w:p>
    <w:p>
      <w:pPr>
        <w:pStyle w:val="Normal"/>
        <w:ind w:hanging="425" w:start="709" w:end="294"/>
        <w:rPr/>
      </w:pPr>
      <w:r>
        <w:rPr/>
        <w:t xml:space="preserve">4.1.  Ogólne wymagania dotyczące transportu </w:t>
      </w:r>
    </w:p>
    <w:p>
      <w:pPr>
        <w:pStyle w:val="Normal"/>
        <w:tabs>
          <w:tab w:val="clear" w:pos="708"/>
          <w:tab w:val="center" w:pos="3217" w:leader="none"/>
        </w:tabs>
        <w:ind w:hanging="0" w:start="0"/>
        <w:jc w:val="start"/>
        <w:rPr/>
      </w:pPr>
      <w:r>
        <w:rPr/>
        <w:t xml:space="preserve"> </w:t>
      </w:r>
      <w:r>
        <w:rPr/>
        <w:tab/>
        <w:t xml:space="preserve">Ogólne zasady transportu podano w ST 1. Wymagania ogólne. </w:t>
      </w:r>
    </w:p>
    <w:p>
      <w:pPr>
        <w:pStyle w:val="Normal"/>
        <w:tabs>
          <w:tab w:val="clear" w:pos="708"/>
          <w:tab w:val="center" w:pos="3217" w:leader="none"/>
        </w:tabs>
        <w:ind w:hanging="0" w:start="0"/>
        <w:jc w:val="start"/>
        <w:rPr/>
      </w:pPr>
      <w:r>
        <w:rPr/>
      </w:r>
    </w:p>
    <w:p>
      <w:pPr>
        <w:pStyle w:val="Normal"/>
        <w:ind w:hanging="425" w:start="709" w:end="294"/>
        <w:rPr/>
      </w:pPr>
      <w:r>
        <w:rPr/>
        <w:t xml:space="preserve">4.2. Szczególne wymagania dotyczące transportu </w:t>
      </w:r>
    </w:p>
    <w:p>
      <w:pPr>
        <w:pStyle w:val="Normal"/>
        <w:ind w:hanging="10" w:start="704" w:end="294"/>
        <w:rPr/>
      </w:pPr>
      <w:r>
        <w:rPr/>
        <w:t xml:space="preserve">Wykonawca jest zobowiązany do stosowania jedynie takich środków transportu, które nie wpłyną niekorzystnie na jakość wykonywanych robót. Na środkach transportu przewożone materiały powinny być zabezpieczone przed ich przemieszczaniem i układane zgodnie z warunkami transportu wydanymi przez wytwórcę. </w:t>
      </w:r>
    </w:p>
    <w:p>
      <w:pPr>
        <w:pStyle w:val="Normal"/>
        <w:ind w:hanging="10" w:start="704" w:end="294"/>
        <w:rPr/>
      </w:pPr>
      <w:r>
        <w:rPr/>
      </w:r>
    </w:p>
    <w:p>
      <w:pPr>
        <w:pStyle w:val="Normal"/>
        <w:ind w:hanging="10" w:start="10" w:end="294"/>
        <w:rPr/>
      </w:pPr>
      <w:r>
        <w:rPr/>
        <w:t xml:space="preserve">5.Wykonanie robót </w:t>
      </w:r>
    </w:p>
    <w:p>
      <w:pPr>
        <w:pStyle w:val="Normal"/>
        <w:ind w:hanging="425" w:start="709" w:end="294"/>
        <w:rPr/>
      </w:pPr>
      <w:r>
        <w:rPr/>
        <w:t xml:space="preserve">5.1.  Ogóle zasady wykonania robót </w:t>
      </w:r>
    </w:p>
    <w:p>
      <w:pPr>
        <w:pStyle w:val="Normal"/>
        <w:tabs>
          <w:tab w:val="clear" w:pos="708"/>
          <w:tab w:val="center" w:pos="3461" w:leader="none"/>
        </w:tabs>
        <w:ind w:hanging="0" w:start="0"/>
        <w:jc w:val="start"/>
        <w:rPr/>
      </w:pPr>
      <w:r>
        <w:rPr/>
        <w:t xml:space="preserve"> </w:t>
      </w:r>
      <w:r>
        <w:rPr/>
        <w:tab/>
        <w:t>Ogóle zasady wykonania robót podano w ST 1.  Wymagania ogólne.</w:t>
      </w:r>
    </w:p>
    <w:p>
      <w:pPr>
        <w:pStyle w:val="Normal"/>
        <w:tabs>
          <w:tab w:val="clear" w:pos="708"/>
          <w:tab w:val="center" w:pos="3461" w:leader="none"/>
        </w:tabs>
        <w:ind w:hanging="0" w:start="0"/>
        <w:jc w:val="start"/>
        <w:rPr/>
      </w:pPr>
      <w:r>
        <w:rPr/>
      </w:r>
    </w:p>
    <w:p>
      <w:pPr>
        <w:pStyle w:val="Normal"/>
        <w:ind w:hanging="425" w:start="709" w:end="294"/>
        <w:rPr/>
      </w:pPr>
      <w:r>
        <w:rPr/>
        <w:t xml:space="preserve">5.2.  Szczególne zasady wykonania robót </w:t>
      </w:r>
    </w:p>
    <w:p>
      <w:pPr>
        <w:pStyle w:val="Normal"/>
        <w:ind w:hanging="10" w:start="704" w:end="294"/>
        <w:rPr/>
      </w:pPr>
      <w:r>
        <w:rPr/>
        <w:t xml:space="preserve">Wykonawca przystępujący do wykonania robót wykończeniowych winien wykazać się możliwością korzystania z maszyn i sprzętu gwarantujących właściwą tj. spełniającą wymagania ST jakość robót. </w:t>
      </w:r>
    </w:p>
    <w:p>
      <w:pPr>
        <w:pStyle w:val="Normal"/>
        <w:ind w:hanging="10" w:start="704" w:end="294"/>
        <w:rPr/>
      </w:pPr>
      <w:r>
        <w:rPr/>
      </w:r>
    </w:p>
    <w:p>
      <w:pPr>
        <w:pStyle w:val="Normal"/>
        <w:tabs>
          <w:tab w:val="clear" w:pos="708"/>
          <w:tab w:val="center" w:pos="1453" w:leader="none"/>
        </w:tabs>
        <w:ind w:hanging="567" w:start="1134"/>
        <w:jc w:val="start"/>
        <w:rPr/>
      </w:pPr>
      <w:r>
        <w:rPr/>
        <w:t xml:space="preserve">5.2.1. </w:t>
        <w:tab/>
        <w:t xml:space="preserve">Tynki wewnętrzne  </w:t>
      </w:r>
    </w:p>
    <w:p>
      <w:pPr>
        <w:pStyle w:val="Normal"/>
        <w:ind w:hanging="10" w:start="1134" w:end="294"/>
        <w:rPr/>
      </w:pPr>
      <w:r>
        <w:rPr/>
        <w:t xml:space="preserve">Przed przystąpieniem do robót tynkowych powinny być ukończone wszystkie roboty stanu surowego, zamurowane wszelkie przebicia i bruzdy, wykonane instalacje podtynkowe oraz osadzone ościeżnice okienne i drzwiowe w przypadku stolarki nie konfekcjonowanej. Podłoża powinny być przygotowane w sposób zapewniający najlepszą przyczepność tynku. Stosowane zaprawy muszą odpowiadać wymaganiom odpowiednich norm przedmiotowych. Przy wykonywaniu zwykłych tynków dwu i trójwarstwowych marka zaprawy przewidziana na następną warstwę powinna być niższa od marki zaprawy poprzedniej. Tynk powinien być na całej powierzchni ściśle związany z podłożem. Przyczepność do podłoża 0,025 Mpa. Podobnie powinny być związane ze sobą warstwy tynków wielowarstwowych. Tynki powinny być wykonywane </w:t>
        <w:br/>
        <w:t xml:space="preserve">w temperaturze powietrza ni niższej niż 5şC pod warunkiem, że w ciągu doby  nie nastąpi spadek temperatury poniżej 0şC. Tynków nie wolno wykonywać ze zmarzniętych zapraw ani też dopuścić do zamarzania świeżego tynku przed osiągnięciem przynajmniej 60% jego wytrzymałości 28-dniowej. Tynki gipsowe, cementowe, cementowo-wapienne i wapienne, wykonane w okresie wysokich temperatur, powinny być w ciągu około 1 tygodnia zwilżane wodą. </w:t>
      </w:r>
    </w:p>
    <w:p>
      <w:pPr>
        <w:pStyle w:val="Normal"/>
        <w:ind w:hanging="10" w:start="1134" w:end="294"/>
        <w:rPr/>
      </w:pPr>
      <w:r>
        <w:rPr/>
        <w:t xml:space="preserve">Wymagania dotyczące podłoża tynkarskiego – przed wykonaniem prac tynkarskich należy zbadać przydatność podłoża pod tynki. Badanie podłoża następuje na podstawie normy PN-70/B-10100 oraz na podstawie bezpośrednich oględzin. Powierzchnie pod tynki powinny być równe, nośne </w:t>
        <w:br/>
        <w:t xml:space="preserve">i mocne, wystarczająco stabilne, jednorodne, równomiernie chłonne, hydrofilne, szorstkie, suche, wolne od zanieczyszczeń, wolne od wykwitów, nie zamarznięte, o temperaturze powyżej 5şC. </w:t>
      </w:r>
    </w:p>
    <w:p>
      <w:pPr>
        <w:pStyle w:val="Normal"/>
        <w:ind w:hanging="10" w:start="1134" w:end="294"/>
        <w:rPr/>
      </w:pPr>
      <w:r>
        <w:rPr/>
        <w:t xml:space="preserve">Przygotowanie podłoża – podłoża z elementów ceramicznych i betonowych – bezpośrednio przed tynkowaniem należy w razie potrzeby podłoże oczyścić z kurzu, sadzy, rdzy i substancji tłustych. Ochrona budynku przed działaniem szkodliwych warunków atmosferycznych – przed rozpoczęciem a także w trakcie wykonywania prac tynkarskich należy uwzględnić następujące zasady: </w:t>
      </w:r>
    </w:p>
    <w:p>
      <w:pPr>
        <w:pStyle w:val="Normal"/>
        <w:numPr>
          <w:ilvl w:val="0"/>
          <w:numId w:val="6"/>
        </w:numPr>
        <w:ind w:hanging="360" w:start="1560" w:end="294"/>
        <w:rPr/>
      </w:pPr>
      <w:r>
        <w:rPr/>
        <w:t xml:space="preserve">zabezpieczenie przeciw wpływom atmosferycznym składowanych materiałów budowlanych, </w:t>
      </w:r>
    </w:p>
    <w:p>
      <w:pPr>
        <w:pStyle w:val="Normal"/>
        <w:numPr>
          <w:ilvl w:val="0"/>
          <w:numId w:val="6"/>
        </w:numPr>
        <w:ind w:hanging="360" w:start="1560" w:end="294"/>
        <w:rPr/>
      </w:pPr>
      <w:r>
        <w:rPr/>
        <w:t xml:space="preserve">zakrywanie wierzchniej części muru podczas dłuższych przerw w pracy, </w:t>
      </w:r>
    </w:p>
    <w:p>
      <w:pPr>
        <w:pStyle w:val="Normal"/>
        <w:numPr>
          <w:ilvl w:val="0"/>
          <w:numId w:val="6"/>
        </w:numPr>
        <w:ind w:hanging="360" w:start="1560" w:end="294"/>
        <w:rPr/>
      </w:pPr>
      <w:r>
        <w:rPr/>
        <w:t xml:space="preserve">zabezpieczenie przed działaniem wód opadowych poprzez otwory, parapety, nie zabezpieczone kominy. </w:t>
      </w:r>
    </w:p>
    <w:p>
      <w:pPr>
        <w:pStyle w:val="Normal"/>
        <w:ind w:hanging="10" w:start="1134" w:end="294"/>
        <w:rPr/>
      </w:pPr>
      <w:r>
        <w:rPr/>
        <w:t>Sprawdzenie podłoża pod tynk</w:t>
      </w:r>
      <w:r>
        <w:rPr>
          <w:i/>
        </w:rPr>
        <w:t xml:space="preserve"> </w:t>
      </w:r>
      <w:r>
        <w:rPr/>
        <w:t xml:space="preserve">– cegła pełna, dziurawka, pustaki ceramiczne, bloczki i elementy </w:t>
        <w:br/>
        <w:t xml:space="preserve">z betonu lekkiego mur musi być wykonany zgodnie z tolerancją wymiarową, uwzględnioną przez normy. Spoiny murarskie nie mogą być ani zbyt głębokie ani wystające przed lico muru – przed nałożeniem tynku wyrównać ubytki i skuć występy. Przy układaniu bezspoinowym puste szczeliny nie mogą być większe niż 5mm. Tego typu szczeliny należy wypełnić najpóźniej 3 dni przed rozpoczęciem tynkowania. </w:t>
      </w:r>
    </w:p>
    <w:p>
      <w:pPr>
        <w:pStyle w:val="Normal"/>
        <w:ind w:hanging="0" w:start="1134" w:end="294"/>
        <w:rPr/>
      </w:pPr>
      <w:r>
        <w:rPr/>
        <w:t xml:space="preserve">Przyczepność tynku do podłoża – polegająca na mechanicznym połączeniu się zaprawy z podłożem powinna zapewnić takie przyleganie i zespolenie tynku z podłożem, aby po stwardnieniu zaprawy nie występowały odparzenia, pęcherze itp. Minimalna wartość siły  przyczepności tynku do podłoża dla tynków cem-wapiennych wynosi 0,25kG/m2. Wzajemna przyczepność poszczególnych warstw tynkach dwu i trójwarstwowych nie powinna być mniejsza niż przyczepność całego tynku do podłoża . </w:t>
      </w:r>
      <w:r>
        <w:rPr>
          <w:i/>
        </w:rPr>
        <w:t xml:space="preserve"> </w:t>
      </w:r>
      <w:r>
        <w:rPr/>
        <w:t xml:space="preserve">Grubość tynków –  w zależności od kategorii oraz rodzaju podłoża lub podkładu. </w:t>
      </w:r>
    </w:p>
    <w:p>
      <w:pPr>
        <w:pStyle w:val="Normal"/>
        <w:spacing w:lineRule="auto" w:line="259" w:before="0" w:after="0"/>
        <w:ind w:hanging="0" w:start="0"/>
        <w:jc w:val="start"/>
        <w:rPr/>
      </w:pPr>
      <w:r>
        <w:rPr/>
        <w:t xml:space="preserve"> </w:t>
      </w:r>
    </w:p>
    <w:tbl>
      <w:tblPr>
        <w:tblStyle w:val="TableGrid"/>
        <w:tblW w:w="8712" w:type="dxa"/>
        <w:jc w:val="start"/>
        <w:tblInd w:w="708" w:type="dxa"/>
        <w:tblLayout w:type="fixed"/>
        <w:tblCellMar>
          <w:top w:w="43" w:type="dxa"/>
          <w:start w:w="108" w:type="dxa"/>
          <w:bottom w:w="0" w:type="dxa"/>
          <w:end w:w="59" w:type="dxa"/>
        </w:tblCellMar>
        <w:tblLook w:firstRow="1" w:noVBand="1" w:lastRow="0" w:firstColumn="1" w:lastColumn="0" w:noHBand="0" w:val="04a0"/>
      </w:tblPr>
      <w:tblGrid>
        <w:gridCol w:w="1277"/>
        <w:gridCol w:w="3965"/>
        <w:gridCol w:w="1841"/>
        <w:gridCol w:w="1629"/>
      </w:tblGrid>
      <w:tr>
        <w:trPr>
          <w:trHeight w:val="698" w:hRule="atLeast"/>
        </w:trPr>
        <w:tc>
          <w:tcPr>
            <w:tcW w:w="1277" w:type="dxa"/>
            <w:tcBorders>
              <w:top w:val="single" w:sz="4" w:space="0" w:color="000000"/>
              <w:start w:val="single" w:sz="4" w:space="0" w:color="000000"/>
              <w:bottom w:val="single" w:sz="4" w:space="0" w:color="000000"/>
              <w:end w:val="single" w:sz="4" w:space="0" w:color="000000"/>
            </w:tcBorders>
          </w:tcPr>
          <w:p>
            <w:pPr>
              <w:pStyle w:val="Normal"/>
              <w:widowControl/>
              <w:suppressAutoHyphens w:val="true"/>
              <w:spacing w:lineRule="auto" w:line="259" w:before="0" w:after="0"/>
              <w:ind w:hanging="0" w:start="0"/>
              <w:jc w:val="center"/>
              <w:rPr>
                <w:kern w:val="0"/>
                <w:szCs w:val="22"/>
                <w:lang w:val="pl-PL" w:eastAsia="pl-PL" w:bidi="ar-SA"/>
              </w:rPr>
            </w:pPr>
            <w:r>
              <w:rPr>
                <w:kern w:val="0"/>
                <w:szCs w:val="22"/>
                <w:lang w:val="pl-PL" w:eastAsia="pl-PL" w:bidi="ar-SA"/>
              </w:rPr>
              <w:t xml:space="preserve">Kategoria tynku </w:t>
            </w:r>
          </w:p>
        </w:tc>
        <w:tc>
          <w:tcPr>
            <w:tcW w:w="3965" w:type="dxa"/>
            <w:tcBorders>
              <w:top w:val="single" w:sz="4" w:space="0" w:color="000000"/>
              <w:start w:val="single" w:sz="4" w:space="0" w:color="000000"/>
              <w:bottom w:val="single" w:sz="4" w:space="0" w:color="000000"/>
              <w:end w:val="single" w:sz="4" w:space="0" w:color="000000"/>
            </w:tcBorders>
          </w:tcPr>
          <w:p>
            <w:pPr>
              <w:pStyle w:val="Normal"/>
              <w:widowControl/>
              <w:suppressAutoHyphens w:val="true"/>
              <w:spacing w:lineRule="auto" w:line="259" w:before="0" w:after="0"/>
              <w:ind w:hanging="0" w:start="0" w:end="50"/>
              <w:jc w:val="center"/>
              <w:rPr>
                <w:kern w:val="0"/>
                <w:szCs w:val="22"/>
                <w:lang w:val="pl-PL" w:eastAsia="pl-PL" w:bidi="ar-SA"/>
              </w:rPr>
            </w:pPr>
            <w:r>
              <w:rPr>
                <w:kern w:val="0"/>
                <w:szCs w:val="22"/>
                <w:lang w:val="pl-PL" w:eastAsia="pl-PL" w:bidi="ar-SA"/>
              </w:rPr>
              <w:t xml:space="preserve">Podłoże lub podkład </w:t>
            </w:r>
          </w:p>
        </w:tc>
        <w:tc>
          <w:tcPr>
            <w:tcW w:w="1841" w:type="dxa"/>
            <w:tcBorders>
              <w:top w:val="single" w:sz="4" w:space="0" w:color="000000"/>
              <w:start w:val="single" w:sz="4" w:space="0" w:color="000000"/>
              <w:bottom w:val="single" w:sz="4" w:space="0" w:color="000000"/>
              <w:end w:val="single" w:sz="4" w:space="0" w:color="000000"/>
            </w:tcBorders>
          </w:tcPr>
          <w:p>
            <w:pPr>
              <w:pStyle w:val="Normal"/>
              <w:widowControl/>
              <w:suppressAutoHyphens w:val="true"/>
              <w:spacing w:lineRule="auto" w:line="259" w:before="0" w:after="0"/>
              <w:ind w:hanging="0" w:start="0" w:end="47"/>
              <w:jc w:val="center"/>
              <w:rPr>
                <w:kern w:val="0"/>
                <w:szCs w:val="22"/>
                <w:lang w:val="pl-PL" w:eastAsia="pl-PL" w:bidi="ar-SA"/>
              </w:rPr>
            </w:pPr>
            <w:r>
              <w:rPr>
                <w:kern w:val="0"/>
                <w:szCs w:val="22"/>
                <w:lang w:val="pl-PL" w:eastAsia="pl-PL" w:bidi="ar-SA"/>
              </w:rPr>
              <w:t xml:space="preserve">Grubość tynku </w:t>
            </w:r>
          </w:p>
        </w:tc>
        <w:tc>
          <w:tcPr>
            <w:tcW w:w="1629" w:type="dxa"/>
            <w:tcBorders>
              <w:top w:val="single" w:sz="4" w:space="0" w:color="000000"/>
              <w:start w:val="single" w:sz="4" w:space="0" w:color="000000"/>
              <w:bottom w:val="single" w:sz="4" w:space="0" w:color="000000"/>
              <w:end w:val="single" w:sz="4" w:space="0" w:color="000000"/>
            </w:tcBorders>
          </w:tcPr>
          <w:p>
            <w:pPr>
              <w:pStyle w:val="Normal"/>
              <w:widowControl/>
              <w:suppressAutoHyphens w:val="true"/>
              <w:spacing w:lineRule="auto" w:line="259" w:before="0" w:after="0"/>
              <w:ind w:hanging="15" w:start="159" w:end="194"/>
              <w:jc w:val="center"/>
              <w:rPr>
                <w:kern w:val="0"/>
                <w:szCs w:val="22"/>
                <w:lang w:val="pl-PL" w:eastAsia="pl-PL" w:bidi="ar-SA"/>
              </w:rPr>
            </w:pPr>
            <w:r>
              <w:rPr>
                <w:kern w:val="0"/>
                <w:szCs w:val="22"/>
                <w:lang w:val="pl-PL" w:eastAsia="pl-PL" w:bidi="ar-SA"/>
              </w:rPr>
              <w:t xml:space="preserve">Dopuszczalne odchyłki w mm </w:t>
            </w:r>
          </w:p>
        </w:tc>
      </w:tr>
      <w:tr>
        <w:trPr>
          <w:trHeight w:val="682" w:hRule="atLeast"/>
        </w:trPr>
        <w:tc>
          <w:tcPr>
            <w:tcW w:w="1277" w:type="dxa"/>
            <w:tcBorders>
              <w:top w:val="single" w:sz="4" w:space="0" w:color="000000"/>
              <w:start w:val="single" w:sz="4" w:space="0" w:color="000000"/>
              <w:bottom w:val="single" w:sz="4" w:space="0" w:color="000000"/>
              <w:end w:val="single" w:sz="4" w:space="0" w:color="000000"/>
            </w:tcBorders>
          </w:tcPr>
          <w:p>
            <w:pPr>
              <w:pStyle w:val="Normal"/>
              <w:widowControl/>
              <w:suppressAutoHyphens w:val="true"/>
              <w:spacing w:lineRule="auto" w:line="259" w:before="0" w:after="0"/>
              <w:ind w:hanging="0" w:start="0" w:end="50"/>
              <w:jc w:val="center"/>
              <w:rPr>
                <w:kern w:val="0"/>
                <w:szCs w:val="22"/>
                <w:lang w:val="pl-PL" w:eastAsia="pl-PL" w:bidi="ar-SA"/>
              </w:rPr>
            </w:pPr>
            <w:r>
              <w:rPr>
                <w:kern w:val="0"/>
                <w:szCs w:val="22"/>
                <w:lang w:val="pl-PL" w:eastAsia="pl-PL" w:bidi="ar-SA"/>
              </w:rPr>
              <w:t xml:space="preserve">0 </w:t>
            </w:r>
          </w:p>
        </w:tc>
        <w:tc>
          <w:tcPr>
            <w:tcW w:w="3965" w:type="dxa"/>
            <w:tcBorders>
              <w:top w:val="single" w:sz="4" w:space="0" w:color="000000"/>
              <w:start w:val="single" w:sz="4" w:space="0" w:color="000000"/>
              <w:bottom w:val="single" w:sz="4" w:space="0" w:color="000000"/>
              <w:end w:val="single" w:sz="4" w:space="0" w:color="000000"/>
            </w:tcBorders>
          </w:tcPr>
          <w:p>
            <w:pPr>
              <w:pStyle w:val="Normal"/>
              <w:widowControl/>
              <w:suppressAutoHyphens w:val="true"/>
              <w:spacing w:lineRule="auto" w:line="259" w:before="0" w:after="0"/>
              <w:ind w:hanging="0" w:start="0"/>
              <w:rPr>
                <w:kern w:val="0"/>
                <w:szCs w:val="22"/>
                <w:lang w:val="pl-PL" w:eastAsia="pl-PL" w:bidi="ar-SA"/>
              </w:rPr>
            </w:pPr>
            <w:r>
              <w:rPr>
                <w:kern w:val="0"/>
                <w:szCs w:val="22"/>
                <w:lang w:val="pl-PL" w:eastAsia="pl-PL" w:bidi="ar-SA"/>
              </w:rPr>
              <w:t xml:space="preserve">Cegła, beton, drobnowymiarowe elementy ceramiczne i betonowe </w:t>
            </w:r>
          </w:p>
        </w:tc>
        <w:tc>
          <w:tcPr>
            <w:tcW w:w="1841" w:type="dxa"/>
            <w:tcBorders>
              <w:top w:val="single" w:sz="4" w:space="0" w:color="000000"/>
              <w:start w:val="single" w:sz="4" w:space="0" w:color="000000"/>
              <w:bottom w:val="single" w:sz="4" w:space="0" w:color="000000"/>
              <w:end w:val="single" w:sz="4" w:space="0" w:color="000000"/>
            </w:tcBorders>
          </w:tcPr>
          <w:p>
            <w:pPr>
              <w:pStyle w:val="Normal"/>
              <w:widowControl/>
              <w:suppressAutoHyphens w:val="true"/>
              <w:spacing w:lineRule="auto" w:line="259" w:before="0" w:after="0"/>
              <w:ind w:hanging="0" w:start="1"/>
              <w:jc w:val="center"/>
              <w:rPr>
                <w:kern w:val="0"/>
                <w:szCs w:val="22"/>
                <w:lang w:val="pl-PL" w:eastAsia="pl-PL" w:bidi="ar-SA"/>
              </w:rPr>
            </w:pPr>
            <w:r>
              <w:rPr>
                <w:kern w:val="0"/>
                <w:szCs w:val="22"/>
                <w:lang w:val="pl-PL" w:eastAsia="pl-PL" w:bidi="ar-SA"/>
              </w:rPr>
              <w:t xml:space="preserve"> </w:t>
            </w:r>
          </w:p>
          <w:p>
            <w:pPr>
              <w:pStyle w:val="Normal"/>
              <w:widowControl/>
              <w:suppressAutoHyphens w:val="true"/>
              <w:spacing w:lineRule="auto" w:line="259" w:before="0" w:after="0"/>
              <w:ind w:hanging="0" w:start="0" w:end="50"/>
              <w:jc w:val="center"/>
              <w:rPr>
                <w:kern w:val="0"/>
                <w:szCs w:val="22"/>
                <w:lang w:val="pl-PL" w:eastAsia="pl-PL" w:bidi="ar-SA"/>
              </w:rPr>
            </w:pPr>
            <w:r>
              <w:rPr>
                <w:kern w:val="0"/>
                <w:szCs w:val="22"/>
                <w:lang w:val="pl-PL" w:eastAsia="pl-PL" w:bidi="ar-SA"/>
              </w:rPr>
              <w:t xml:space="preserve">12 </w:t>
            </w:r>
          </w:p>
        </w:tc>
        <w:tc>
          <w:tcPr>
            <w:tcW w:w="1629" w:type="dxa"/>
            <w:tcBorders>
              <w:top w:val="single" w:sz="4" w:space="0" w:color="000000"/>
              <w:start w:val="single" w:sz="4" w:space="0" w:color="000000"/>
              <w:bottom w:val="single" w:sz="4" w:space="0" w:color="000000"/>
              <w:end w:val="single" w:sz="4" w:space="0" w:color="000000"/>
            </w:tcBorders>
          </w:tcPr>
          <w:p>
            <w:pPr>
              <w:pStyle w:val="Normal"/>
              <w:widowControl/>
              <w:suppressAutoHyphens w:val="true"/>
              <w:spacing w:lineRule="auto" w:line="259" w:before="0" w:after="0"/>
              <w:ind w:hanging="0" w:start="1"/>
              <w:jc w:val="center"/>
              <w:rPr>
                <w:kern w:val="0"/>
                <w:szCs w:val="22"/>
                <w:lang w:val="pl-PL" w:eastAsia="pl-PL" w:bidi="ar-SA"/>
              </w:rPr>
            </w:pPr>
            <w:r>
              <w:rPr>
                <w:kern w:val="0"/>
                <w:szCs w:val="22"/>
                <w:lang w:val="pl-PL" w:eastAsia="pl-PL" w:bidi="ar-SA"/>
              </w:rPr>
              <w:t xml:space="preserve"> </w:t>
            </w:r>
          </w:p>
          <w:p>
            <w:pPr>
              <w:pStyle w:val="Normal"/>
              <w:widowControl/>
              <w:suppressAutoHyphens w:val="true"/>
              <w:spacing w:lineRule="auto" w:line="259" w:before="0" w:after="0"/>
              <w:ind w:hanging="0" w:start="0" w:end="50"/>
              <w:jc w:val="center"/>
              <w:rPr>
                <w:kern w:val="0"/>
                <w:szCs w:val="22"/>
                <w:lang w:val="pl-PL" w:eastAsia="pl-PL" w:bidi="ar-SA"/>
              </w:rPr>
            </w:pPr>
            <w:r>
              <w:rPr>
                <w:kern w:val="0"/>
                <w:szCs w:val="22"/>
                <w:lang w:val="pl-PL" w:eastAsia="pl-PL" w:bidi="ar-SA"/>
              </w:rPr>
              <w:t xml:space="preserve">-6  +4 </w:t>
            </w:r>
          </w:p>
        </w:tc>
      </w:tr>
      <w:tr>
        <w:trPr>
          <w:trHeight w:val="470" w:hRule="atLeast"/>
        </w:trPr>
        <w:tc>
          <w:tcPr>
            <w:tcW w:w="1277" w:type="dxa"/>
            <w:tcBorders>
              <w:top w:val="single" w:sz="4" w:space="0" w:color="000000"/>
              <w:start w:val="single" w:sz="4" w:space="0" w:color="000000"/>
              <w:bottom w:val="single" w:sz="4" w:space="0" w:color="000000"/>
              <w:end w:val="single" w:sz="4" w:space="0" w:color="000000"/>
            </w:tcBorders>
          </w:tcPr>
          <w:p>
            <w:pPr>
              <w:pStyle w:val="Normal"/>
              <w:widowControl/>
              <w:suppressAutoHyphens w:val="true"/>
              <w:spacing w:lineRule="auto" w:line="259" w:before="0" w:after="0"/>
              <w:ind w:hanging="0" w:start="0" w:end="50"/>
              <w:jc w:val="center"/>
              <w:rPr>
                <w:kern w:val="0"/>
                <w:szCs w:val="22"/>
                <w:lang w:val="pl-PL" w:eastAsia="pl-PL" w:bidi="ar-SA"/>
              </w:rPr>
            </w:pPr>
            <w:r>
              <w:rPr>
                <w:kern w:val="0"/>
                <w:szCs w:val="22"/>
                <w:lang w:val="pl-PL" w:eastAsia="pl-PL" w:bidi="ar-SA"/>
              </w:rPr>
              <w:t xml:space="preserve">I  i  Ia </w:t>
            </w:r>
          </w:p>
        </w:tc>
        <w:tc>
          <w:tcPr>
            <w:tcW w:w="3965" w:type="dxa"/>
            <w:tcBorders>
              <w:top w:val="single" w:sz="4" w:space="0" w:color="000000"/>
              <w:start w:val="single" w:sz="4" w:space="0" w:color="000000"/>
              <w:bottom w:val="single" w:sz="4" w:space="0" w:color="000000"/>
              <w:end w:val="single" w:sz="4" w:space="0" w:color="000000"/>
            </w:tcBorders>
          </w:tcPr>
          <w:p>
            <w:pPr>
              <w:pStyle w:val="Normal"/>
              <w:widowControl/>
              <w:suppressAutoHyphens w:val="true"/>
              <w:spacing w:lineRule="auto" w:line="259" w:before="0" w:after="0"/>
              <w:ind w:hanging="0" w:start="0"/>
              <w:rPr>
                <w:kern w:val="0"/>
                <w:szCs w:val="22"/>
                <w:lang w:val="pl-PL" w:eastAsia="pl-PL" w:bidi="ar-SA"/>
              </w:rPr>
            </w:pPr>
            <w:r>
              <w:rPr>
                <w:kern w:val="0"/>
                <w:szCs w:val="22"/>
                <w:lang w:val="pl-PL" w:eastAsia="pl-PL" w:bidi="ar-SA"/>
              </w:rPr>
              <w:t xml:space="preserve">Cegła, beton, drobnowymiarowe elementy ceramiczne i betonowe  </w:t>
            </w:r>
          </w:p>
        </w:tc>
        <w:tc>
          <w:tcPr>
            <w:tcW w:w="1841" w:type="dxa"/>
            <w:tcBorders>
              <w:top w:val="single" w:sz="4" w:space="0" w:color="000000"/>
              <w:start w:val="single" w:sz="4" w:space="0" w:color="000000"/>
              <w:bottom w:val="single" w:sz="4" w:space="0" w:color="000000"/>
              <w:end w:val="single" w:sz="4" w:space="0" w:color="000000"/>
            </w:tcBorders>
          </w:tcPr>
          <w:p>
            <w:pPr>
              <w:pStyle w:val="Normal"/>
              <w:widowControl/>
              <w:suppressAutoHyphens w:val="true"/>
              <w:spacing w:lineRule="auto" w:line="259" w:before="0" w:after="0"/>
              <w:ind w:hanging="0" w:start="1"/>
              <w:jc w:val="center"/>
              <w:rPr>
                <w:kern w:val="0"/>
                <w:szCs w:val="22"/>
                <w:lang w:val="pl-PL" w:eastAsia="pl-PL" w:bidi="ar-SA"/>
              </w:rPr>
            </w:pPr>
            <w:r>
              <w:rPr>
                <w:kern w:val="0"/>
                <w:szCs w:val="22"/>
                <w:lang w:val="pl-PL" w:eastAsia="pl-PL" w:bidi="ar-SA"/>
              </w:rPr>
              <w:t xml:space="preserve"> </w:t>
            </w:r>
          </w:p>
          <w:p>
            <w:pPr>
              <w:pStyle w:val="Normal"/>
              <w:widowControl/>
              <w:suppressAutoHyphens w:val="true"/>
              <w:spacing w:lineRule="auto" w:line="259" w:before="0" w:after="0"/>
              <w:ind w:hanging="0" w:start="0" w:end="50"/>
              <w:jc w:val="center"/>
              <w:rPr>
                <w:kern w:val="0"/>
                <w:szCs w:val="22"/>
                <w:lang w:val="pl-PL" w:eastAsia="pl-PL" w:bidi="ar-SA"/>
              </w:rPr>
            </w:pPr>
            <w:r>
              <w:rPr>
                <w:kern w:val="0"/>
                <w:szCs w:val="22"/>
                <w:lang w:val="pl-PL" w:eastAsia="pl-PL" w:bidi="ar-SA"/>
              </w:rPr>
              <w:t xml:space="preserve">10 </w:t>
            </w:r>
          </w:p>
        </w:tc>
        <w:tc>
          <w:tcPr>
            <w:tcW w:w="1629" w:type="dxa"/>
            <w:tcBorders>
              <w:top w:val="single" w:sz="4" w:space="0" w:color="000000"/>
              <w:start w:val="single" w:sz="4" w:space="0" w:color="000000"/>
              <w:bottom w:val="single" w:sz="4" w:space="0" w:color="000000"/>
              <w:end w:val="single" w:sz="4" w:space="0" w:color="000000"/>
            </w:tcBorders>
          </w:tcPr>
          <w:p>
            <w:pPr>
              <w:pStyle w:val="Normal"/>
              <w:widowControl/>
              <w:suppressAutoHyphens w:val="true"/>
              <w:spacing w:lineRule="auto" w:line="259" w:before="0" w:after="0"/>
              <w:ind w:hanging="0" w:start="1"/>
              <w:jc w:val="center"/>
              <w:rPr>
                <w:kern w:val="0"/>
                <w:szCs w:val="22"/>
                <w:lang w:val="pl-PL" w:eastAsia="pl-PL" w:bidi="ar-SA"/>
              </w:rPr>
            </w:pPr>
            <w:r>
              <w:rPr>
                <w:kern w:val="0"/>
                <w:szCs w:val="22"/>
                <w:lang w:val="pl-PL" w:eastAsia="pl-PL" w:bidi="ar-SA"/>
              </w:rPr>
              <w:t xml:space="preserve"> </w:t>
            </w:r>
          </w:p>
          <w:p>
            <w:pPr>
              <w:pStyle w:val="Normal"/>
              <w:widowControl/>
              <w:suppressAutoHyphens w:val="true"/>
              <w:spacing w:lineRule="auto" w:line="259" w:before="0" w:after="0"/>
              <w:ind w:hanging="0" w:start="0" w:end="52"/>
              <w:jc w:val="center"/>
              <w:rPr>
                <w:kern w:val="0"/>
                <w:szCs w:val="22"/>
                <w:lang w:val="pl-PL" w:eastAsia="pl-PL" w:bidi="ar-SA"/>
              </w:rPr>
            </w:pPr>
            <w:r>
              <w:rPr>
                <w:kern w:val="0"/>
                <w:szCs w:val="22"/>
                <w:lang w:val="pl-PL" w:eastAsia="pl-PL" w:bidi="ar-SA"/>
              </w:rPr>
              <w:t xml:space="preserve">-6 +4 </w:t>
            </w:r>
          </w:p>
        </w:tc>
      </w:tr>
      <w:tr>
        <w:trPr>
          <w:trHeight w:val="848" w:hRule="atLeast"/>
        </w:trPr>
        <w:tc>
          <w:tcPr>
            <w:tcW w:w="1277" w:type="dxa"/>
            <w:tcBorders>
              <w:top w:val="single" w:sz="4" w:space="0" w:color="000000"/>
              <w:start w:val="single" w:sz="4" w:space="0" w:color="000000"/>
              <w:bottom w:val="single" w:sz="4" w:space="0" w:color="000000"/>
              <w:end w:val="single" w:sz="4" w:space="0" w:color="000000"/>
            </w:tcBorders>
          </w:tcPr>
          <w:p>
            <w:pPr>
              <w:pStyle w:val="Normal"/>
              <w:widowControl/>
              <w:suppressAutoHyphens w:val="true"/>
              <w:spacing w:lineRule="auto" w:line="259" w:before="0" w:after="0"/>
              <w:ind w:hanging="0" w:start="0" w:end="50"/>
              <w:jc w:val="center"/>
              <w:rPr>
                <w:kern w:val="0"/>
                <w:szCs w:val="22"/>
                <w:lang w:val="pl-PL" w:eastAsia="pl-PL" w:bidi="ar-SA"/>
              </w:rPr>
            </w:pPr>
            <w:r>
              <w:rPr>
                <w:kern w:val="0"/>
                <w:szCs w:val="22"/>
                <w:lang w:val="pl-PL" w:eastAsia="pl-PL" w:bidi="ar-SA"/>
              </w:rPr>
              <w:t xml:space="preserve">II </w:t>
            </w:r>
          </w:p>
        </w:tc>
        <w:tc>
          <w:tcPr>
            <w:tcW w:w="3965" w:type="dxa"/>
            <w:tcBorders>
              <w:top w:val="single" w:sz="4" w:space="0" w:color="000000"/>
              <w:start w:val="single" w:sz="4" w:space="0" w:color="000000"/>
              <w:bottom w:val="single" w:sz="4" w:space="0" w:color="000000"/>
              <w:end w:val="single" w:sz="4" w:space="0" w:color="000000"/>
            </w:tcBorders>
          </w:tcPr>
          <w:p>
            <w:pPr>
              <w:pStyle w:val="Normal"/>
              <w:widowControl/>
              <w:suppressAutoHyphens w:val="true"/>
              <w:spacing w:lineRule="auto" w:line="259" w:before="0" w:after="0"/>
              <w:ind w:hanging="0" w:start="0" w:end="53"/>
              <w:jc w:val="start"/>
              <w:rPr>
                <w:kern w:val="0"/>
                <w:szCs w:val="22"/>
                <w:lang w:val="pl-PL" w:eastAsia="pl-PL" w:bidi="ar-SA"/>
              </w:rPr>
            </w:pPr>
            <w:r>
              <w:rPr>
                <w:kern w:val="0"/>
                <w:szCs w:val="22"/>
                <w:lang w:val="pl-PL" w:eastAsia="pl-PL" w:bidi="ar-SA"/>
              </w:rPr>
              <w:t xml:space="preserve">j.w. oraz płyty wiórowo-cementowe itp.  Siatka </w:t>
              <w:tab/>
              <w:t xml:space="preserve">stalowa </w:t>
              <w:tab/>
              <w:t xml:space="preserve">lub </w:t>
              <w:tab/>
              <w:t xml:space="preserve">druciano-ceramiczna otrzcinowanie </w:t>
            </w:r>
          </w:p>
        </w:tc>
        <w:tc>
          <w:tcPr>
            <w:tcW w:w="1841" w:type="dxa"/>
            <w:tcBorders>
              <w:top w:val="single" w:sz="4" w:space="0" w:color="000000"/>
              <w:start w:val="single" w:sz="4" w:space="0" w:color="000000"/>
              <w:bottom w:val="single" w:sz="4" w:space="0" w:color="000000"/>
              <w:end w:val="single" w:sz="4" w:space="0" w:color="000000"/>
            </w:tcBorders>
          </w:tcPr>
          <w:p>
            <w:pPr>
              <w:pStyle w:val="Normal"/>
              <w:widowControl/>
              <w:suppressAutoHyphens w:val="true"/>
              <w:spacing w:lineRule="auto" w:line="259" w:before="0" w:after="0"/>
              <w:ind w:hanging="0" w:start="1"/>
              <w:jc w:val="center"/>
              <w:rPr>
                <w:kern w:val="0"/>
                <w:szCs w:val="22"/>
                <w:lang w:val="pl-PL" w:eastAsia="pl-PL" w:bidi="ar-SA"/>
              </w:rPr>
            </w:pPr>
            <w:r>
              <w:rPr>
                <w:kern w:val="0"/>
                <w:szCs w:val="22"/>
                <w:lang w:val="pl-PL" w:eastAsia="pl-PL" w:bidi="ar-SA"/>
              </w:rPr>
              <w:t xml:space="preserve"> </w:t>
            </w:r>
            <w:r>
              <w:rPr>
                <w:kern w:val="0"/>
                <w:szCs w:val="22"/>
                <w:lang w:val="pl-PL" w:eastAsia="pl-PL" w:bidi="ar-SA"/>
              </w:rPr>
              <w:t xml:space="preserve">15 </w:t>
            </w:r>
          </w:p>
          <w:p>
            <w:pPr>
              <w:pStyle w:val="Normal"/>
              <w:widowControl/>
              <w:suppressAutoHyphens w:val="true"/>
              <w:spacing w:lineRule="auto" w:line="259" w:before="0" w:after="0"/>
              <w:ind w:hanging="0" w:start="1"/>
              <w:jc w:val="center"/>
              <w:rPr>
                <w:kern w:val="0"/>
                <w:szCs w:val="22"/>
                <w:lang w:val="pl-PL" w:eastAsia="pl-PL" w:bidi="ar-SA"/>
              </w:rPr>
            </w:pPr>
            <w:r>
              <w:rPr>
                <w:kern w:val="0"/>
                <w:szCs w:val="22"/>
                <w:lang w:val="pl-PL" w:eastAsia="pl-PL" w:bidi="ar-SA"/>
              </w:rPr>
              <w:t xml:space="preserve"> </w:t>
            </w:r>
          </w:p>
          <w:p>
            <w:pPr>
              <w:pStyle w:val="Normal"/>
              <w:widowControl/>
              <w:suppressAutoHyphens w:val="true"/>
              <w:spacing w:lineRule="auto" w:line="259" w:before="0" w:after="0"/>
              <w:ind w:hanging="0" w:start="0" w:end="50"/>
              <w:jc w:val="center"/>
              <w:rPr>
                <w:kern w:val="0"/>
                <w:szCs w:val="22"/>
                <w:lang w:val="pl-PL" w:eastAsia="pl-PL" w:bidi="ar-SA"/>
              </w:rPr>
            </w:pPr>
            <w:r>
              <w:rPr>
                <w:kern w:val="0"/>
                <w:szCs w:val="22"/>
                <w:lang w:val="pl-PL" w:eastAsia="pl-PL" w:bidi="ar-SA"/>
              </w:rPr>
              <w:t xml:space="preserve">20 </w:t>
            </w:r>
          </w:p>
        </w:tc>
        <w:tc>
          <w:tcPr>
            <w:tcW w:w="1629" w:type="dxa"/>
            <w:tcBorders>
              <w:top w:val="single" w:sz="4" w:space="0" w:color="000000"/>
              <w:start w:val="single" w:sz="4" w:space="0" w:color="000000"/>
              <w:bottom w:val="single" w:sz="4" w:space="0" w:color="000000"/>
              <w:end w:val="single" w:sz="4" w:space="0" w:color="000000"/>
            </w:tcBorders>
          </w:tcPr>
          <w:p>
            <w:pPr>
              <w:pStyle w:val="Normal"/>
              <w:widowControl/>
              <w:suppressAutoHyphens w:val="true"/>
              <w:spacing w:lineRule="auto" w:line="259" w:before="0" w:after="0"/>
              <w:ind w:hanging="0" w:start="1"/>
              <w:jc w:val="center"/>
              <w:rPr>
                <w:kern w:val="0"/>
                <w:szCs w:val="22"/>
                <w:lang w:val="pl-PL" w:eastAsia="pl-PL" w:bidi="ar-SA"/>
              </w:rPr>
            </w:pPr>
            <w:r>
              <w:rPr>
                <w:kern w:val="0"/>
                <w:szCs w:val="22"/>
                <w:lang w:val="pl-PL" w:eastAsia="pl-PL" w:bidi="ar-SA"/>
              </w:rPr>
              <w:t xml:space="preserve"> </w:t>
            </w:r>
          </w:p>
          <w:p>
            <w:pPr>
              <w:pStyle w:val="Normal"/>
              <w:widowControl/>
              <w:suppressAutoHyphens w:val="true"/>
              <w:spacing w:lineRule="auto" w:line="259" w:before="0" w:after="0"/>
              <w:ind w:hanging="0" w:start="0" w:end="52"/>
              <w:jc w:val="center"/>
              <w:rPr>
                <w:kern w:val="0"/>
                <w:szCs w:val="22"/>
                <w:lang w:val="pl-PL" w:eastAsia="pl-PL" w:bidi="ar-SA"/>
              </w:rPr>
            </w:pPr>
            <w:r>
              <w:rPr>
                <w:kern w:val="0"/>
                <w:szCs w:val="22"/>
                <w:lang w:val="pl-PL" w:eastAsia="pl-PL" w:bidi="ar-SA"/>
              </w:rPr>
              <w:t xml:space="preserve">-5 +3 </w:t>
            </w:r>
          </w:p>
        </w:tc>
      </w:tr>
      <w:tr>
        <w:trPr>
          <w:trHeight w:val="1390" w:hRule="atLeast"/>
        </w:trPr>
        <w:tc>
          <w:tcPr>
            <w:tcW w:w="1277" w:type="dxa"/>
            <w:tcBorders>
              <w:top w:val="single" w:sz="4" w:space="0" w:color="000000"/>
              <w:start w:val="single" w:sz="4" w:space="0" w:color="000000"/>
              <w:bottom w:val="single" w:sz="4" w:space="0" w:color="000000"/>
              <w:end w:val="single" w:sz="4" w:space="0" w:color="000000"/>
            </w:tcBorders>
          </w:tcPr>
          <w:p>
            <w:pPr>
              <w:pStyle w:val="Normal"/>
              <w:widowControl/>
              <w:suppressAutoHyphens w:val="true"/>
              <w:spacing w:lineRule="auto" w:line="259" w:before="0" w:after="0"/>
              <w:ind w:hanging="0" w:start="0" w:end="50"/>
              <w:jc w:val="center"/>
              <w:rPr>
                <w:kern w:val="0"/>
                <w:szCs w:val="22"/>
                <w:lang w:val="pl-PL" w:eastAsia="pl-PL" w:bidi="ar-SA"/>
              </w:rPr>
            </w:pPr>
            <w:r>
              <w:rPr>
                <w:kern w:val="0"/>
                <w:szCs w:val="22"/>
                <w:lang w:val="pl-PL" w:eastAsia="pl-PL" w:bidi="ar-SA"/>
              </w:rPr>
              <w:t xml:space="preserve">III,   IV,  </w:t>
            </w:r>
          </w:p>
          <w:p>
            <w:pPr>
              <w:pStyle w:val="Normal"/>
              <w:widowControl/>
              <w:suppressAutoHyphens w:val="true"/>
              <w:spacing w:lineRule="auto" w:line="259" w:before="0" w:after="0"/>
              <w:ind w:hanging="0" w:start="0" w:end="47"/>
              <w:jc w:val="center"/>
              <w:rPr>
                <w:kern w:val="0"/>
                <w:szCs w:val="22"/>
                <w:lang w:val="pl-PL" w:eastAsia="pl-PL" w:bidi="ar-SA"/>
              </w:rPr>
            </w:pPr>
            <w:r>
              <w:rPr>
                <w:kern w:val="0"/>
                <w:szCs w:val="22"/>
                <w:lang w:val="pl-PL" w:eastAsia="pl-PL" w:bidi="ar-SA"/>
              </w:rPr>
              <w:t xml:space="preserve">IVf,  IVw </w:t>
            </w:r>
          </w:p>
        </w:tc>
        <w:tc>
          <w:tcPr>
            <w:tcW w:w="3965" w:type="dxa"/>
            <w:tcBorders>
              <w:top w:val="single" w:sz="4" w:space="0" w:color="000000"/>
              <w:start w:val="single" w:sz="4" w:space="0" w:color="000000"/>
              <w:bottom w:val="single" w:sz="4" w:space="0" w:color="000000"/>
              <w:end w:val="single" w:sz="4" w:space="0" w:color="000000"/>
            </w:tcBorders>
          </w:tcPr>
          <w:p>
            <w:pPr>
              <w:pStyle w:val="Normal"/>
              <w:widowControl/>
              <w:suppressAutoHyphens w:val="true"/>
              <w:spacing w:lineRule="auto" w:line="259" w:before="0" w:after="0"/>
              <w:ind w:hanging="0" w:start="0"/>
              <w:jc w:val="start"/>
              <w:rPr>
                <w:kern w:val="0"/>
                <w:szCs w:val="22"/>
                <w:lang w:val="pl-PL" w:eastAsia="pl-PL" w:bidi="ar-SA"/>
              </w:rPr>
            </w:pPr>
            <w:r>
              <w:rPr>
                <w:kern w:val="0"/>
                <w:szCs w:val="22"/>
                <w:lang w:val="pl-PL" w:eastAsia="pl-PL" w:bidi="ar-SA"/>
              </w:rPr>
              <w:t xml:space="preserve">Podłoże gipsowe i gipsobetonowe   </w:t>
            </w:r>
          </w:p>
          <w:p>
            <w:pPr>
              <w:pStyle w:val="Normal"/>
              <w:widowControl/>
              <w:suppressAutoHyphens w:val="true"/>
              <w:spacing w:lineRule="auto" w:line="240" w:before="0" w:after="0"/>
              <w:ind w:hanging="0" w:start="0" w:end="49"/>
              <w:rPr>
                <w:kern w:val="0"/>
                <w:szCs w:val="22"/>
                <w:lang w:val="pl-PL" w:eastAsia="pl-PL" w:bidi="ar-SA"/>
              </w:rPr>
            </w:pPr>
            <w:r>
              <w:rPr>
                <w:kern w:val="0"/>
                <w:szCs w:val="22"/>
                <w:lang w:val="pl-PL" w:eastAsia="pl-PL" w:bidi="ar-SA"/>
              </w:rPr>
              <w:t xml:space="preserve">Cegła, beton, drobnowymiarowe elementy ceramiczne i betonowe, płyty wiórowocementowe </w:t>
            </w:r>
          </w:p>
          <w:p>
            <w:pPr>
              <w:pStyle w:val="Normal"/>
              <w:widowControl/>
              <w:suppressAutoHyphens w:val="true"/>
              <w:spacing w:lineRule="auto" w:line="259" w:before="0" w:after="0"/>
              <w:ind w:hanging="0" w:start="0"/>
              <w:jc w:val="start"/>
              <w:rPr>
                <w:kern w:val="0"/>
                <w:szCs w:val="22"/>
                <w:lang w:val="pl-PL" w:eastAsia="pl-PL" w:bidi="ar-SA"/>
              </w:rPr>
            </w:pPr>
            <w:r>
              <w:rPr>
                <w:kern w:val="0"/>
                <w:szCs w:val="22"/>
                <w:lang w:val="pl-PL" w:eastAsia="pl-PL" w:bidi="ar-SA"/>
              </w:rPr>
              <w:t xml:space="preserve">Siatka stalowa lub druciano – ceramiczna </w:t>
            </w:r>
          </w:p>
        </w:tc>
        <w:tc>
          <w:tcPr>
            <w:tcW w:w="1841" w:type="dxa"/>
            <w:tcBorders>
              <w:top w:val="single" w:sz="4" w:space="0" w:color="000000"/>
              <w:start w:val="single" w:sz="4" w:space="0" w:color="000000"/>
              <w:bottom w:val="single" w:sz="4" w:space="0" w:color="000000"/>
              <w:end w:val="single" w:sz="4" w:space="0" w:color="000000"/>
            </w:tcBorders>
          </w:tcPr>
          <w:p>
            <w:pPr>
              <w:pStyle w:val="Normal"/>
              <w:widowControl/>
              <w:suppressAutoHyphens w:val="true"/>
              <w:spacing w:lineRule="auto" w:line="259" w:before="0" w:after="0"/>
              <w:ind w:hanging="0" w:start="0" w:end="50"/>
              <w:jc w:val="center"/>
              <w:rPr>
                <w:kern w:val="0"/>
                <w:szCs w:val="22"/>
                <w:lang w:val="pl-PL" w:eastAsia="pl-PL" w:bidi="ar-SA"/>
              </w:rPr>
            </w:pPr>
            <w:r>
              <w:rPr>
                <w:kern w:val="0"/>
                <w:szCs w:val="22"/>
                <w:lang w:val="pl-PL" w:eastAsia="pl-PL" w:bidi="ar-SA"/>
              </w:rPr>
              <w:t xml:space="preserve">12  </w:t>
            </w:r>
          </w:p>
          <w:p>
            <w:pPr>
              <w:pStyle w:val="Normal"/>
              <w:widowControl/>
              <w:suppressAutoHyphens w:val="true"/>
              <w:spacing w:lineRule="auto" w:line="259" w:before="0" w:after="0"/>
              <w:ind w:hanging="0" w:start="0" w:end="50"/>
              <w:jc w:val="center"/>
              <w:rPr>
                <w:kern w:val="0"/>
                <w:szCs w:val="22"/>
                <w:lang w:val="pl-PL" w:eastAsia="pl-PL" w:bidi="ar-SA"/>
              </w:rPr>
            </w:pPr>
            <w:r>
              <w:rPr>
                <w:kern w:val="0"/>
                <w:szCs w:val="22"/>
                <w:lang w:val="pl-PL" w:eastAsia="pl-PL" w:bidi="ar-SA"/>
              </w:rPr>
              <w:t xml:space="preserve">18 </w:t>
            </w:r>
          </w:p>
          <w:p>
            <w:pPr>
              <w:pStyle w:val="Normal"/>
              <w:widowControl/>
              <w:suppressAutoHyphens w:val="true"/>
              <w:spacing w:lineRule="auto" w:line="259" w:before="0" w:after="0"/>
              <w:ind w:hanging="0" w:start="1"/>
              <w:jc w:val="center"/>
              <w:rPr>
                <w:kern w:val="0"/>
                <w:szCs w:val="22"/>
                <w:lang w:val="pl-PL" w:eastAsia="pl-PL" w:bidi="ar-SA"/>
              </w:rPr>
            </w:pPr>
            <w:r>
              <w:rPr>
                <w:kern w:val="0"/>
                <w:szCs w:val="22"/>
                <w:lang w:val="pl-PL" w:eastAsia="pl-PL" w:bidi="ar-SA"/>
              </w:rPr>
              <w:t xml:space="preserve"> </w:t>
            </w:r>
          </w:p>
          <w:p>
            <w:pPr>
              <w:pStyle w:val="Normal"/>
              <w:widowControl/>
              <w:suppressAutoHyphens w:val="true"/>
              <w:spacing w:lineRule="auto" w:line="259" w:before="0" w:after="0"/>
              <w:ind w:hanging="0" w:start="0" w:end="50"/>
              <w:jc w:val="center"/>
              <w:rPr>
                <w:kern w:val="0"/>
                <w:szCs w:val="22"/>
                <w:lang w:val="pl-PL" w:eastAsia="pl-PL" w:bidi="ar-SA"/>
              </w:rPr>
            </w:pPr>
            <w:r>
              <w:rPr>
                <w:kern w:val="0"/>
                <w:szCs w:val="22"/>
                <w:lang w:val="pl-PL" w:eastAsia="pl-PL" w:bidi="ar-SA"/>
              </w:rPr>
              <w:t xml:space="preserve">23 </w:t>
            </w:r>
          </w:p>
        </w:tc>
        <w:tc>
          <w:tcPr>
            <w:tcW w:w="1629" w:type="dxa"/>
            <w:tcBorders>
              <w:top w:val="single" w:sz="4" w:space="0" w:color="000000"/>
              <w:start w:val="single" w:sz="4" w:space="0" w:color="000000"/>
              <w:bottom w:val="single" w:sz="4" w:space="0" w:color="000000"/>
              <w:end w:val="single" w:sz="4" w:space="0" w:color="000000"/>
            </w:tcBorders>
          </w:tcPr>
          <w:p>
            <w:pPr>
              <w:pStyle w:val="Normal"/>
              <w:widowControl/>
              <w:suppressAutoHyphens w:val="true"/>
              <w:spacing w:lineRule="auto" w:line="259" w:before="0" w:after="0"/>
              <w:ind w:hanging="0" w:start="1"/>
              <w:jc w:val="center"/>
              <w:rPr>
                <w:kern w:val="0"/>
                <w:szCs w:val="22"/>
                <w:lang w:val="pl-PL" w:eastAsia="pl-PL" w:bidi="ar-SA"/>
              </w:rPr>
            </w:pPr>
            <w:r>
              <w:rPr>
                <w:kern w:val="0"/>
                <w:szCs w:val="22"/>
                <w:lang w:val="pl-PL" w:eastAsia="pl-PL" w:bidi="ar-SA"/>
              </w:rPr>
              <w:t xml:space="preserve"> </w:t>
            </w:r>
          </w:p>
          <w:p>
            <w:pPr>
              <w:pStyle w:val="Normal"/>
              <w:widowControl/>
              <w:suppressAutoHyphens w:val="true"/>
              <w:spacing w:lineRule="auto" w:line="259" w:before="0" w:after="0"/>
              <w:ind w:hanging="0" w:start="1"/>
              <w:jc w:val="center"/>
              <w:rPr>
                <w:kern w:val="0"/>
                <w:szCs w:val="22"/>
                <w:lang w:val="pl-PL" w:eastAsia="pl-PL" w:bidi="ar-SA"/>
              </w:rPr>
            </w:pPr>
            <w:r>
              <w:rPr>
                <w:kern w:val="0"/>
                <w:szCs w:val="22"/>
                <w:lang w:val="pl-PL" w:eastAsia="pl-PL" w:bidi="ar-SA"/>
              </w:rPr>
              <w:t xml:space="preserve"> </w:t>
            </w:r>
          </w:p>
          <w:p>
            <w:pPr>
              <w:pStyle w:val="Normal"/>
              <w:widowControl/>
              <w:suppressAutoHyphens w:val="true"/>
              <w:spacing w:lineRule="auto" w:line="259" w:before="0" w:after="0"/>
              <w:ind w:hanging="0" w:start="0" w:end="52"/>
              <w:jc w:val="center"/>
              <w:rPr>
                <w:kern w:val="0"/>
                <w:szCs w:val="22"/>
                <w:lang w:val="pl-PL" w:eastAsia="pl-PL" w:bidi="ar-SA"/>
              </w:rPr>
            </w:pPr>
            <w:r>
              <w:rPr>
                <w:kern w:val="0"/>
                <w:szCs w:val="22"/>
                <w:lang w:val="pl-PL" w:eastAsia="pl-PL" w:bidi="ar-SA"/>
              </w:rPr>
              <w:t xml:space="preserve">-4 +2 </w:t>
            </w:r>
          </w:p>
          <w:p>
            <w:pPr>
              <w:pStyle w:val="Normal"/>
              <w:widowControl/>
              <w:suppressAutoHyphens w:val="true"/>
              <w:spacing w:lineRule="auto" w:line="259" w:before="0" w:after="0"/>
              <w:ind w:hanging="0" w:start="1"/>
              <w:jc w:val="center"/>
              <w:rPr>
                <w:kern w:val="0"/>
                <w:szCs w:val="22"/>
                <w:lang w:val="pl-PL" w:eastAsia="pl-PL" w:bidi="ar-SA"/>
              </w:rPr>
            </w:pPr>
            <w:r>
              <w:rPr>
                <w:kern w:val="0"/>
                <w:szCs w:val="22"/>
                <w:lang w:val="pl-PL" w:eastAsia="pl-PL" w:bidi="ar-SA"/>
              </w:rPr>
              <w:t xml:space="preserve"> </w:t>
            </w:r>
          </w:p>
        </w:tc>
      </w:tr>
    </w:tbl>
    <w:p>
      <w:pPr>
        <w:pStyle w:val="Normal"/>
        <w:ind w:hanging="10" w:start="704" w:end="294"/>
        <w:rPr/>
      </w:pPr>
      <w:r>
        <w:rPr/>
      </w:r>
    </w:p>
    <w:p>
      <w:pPr>
        <w:pStyle w:val="Normal"/>
        <w:ind w:hanging="10" w:start="1134" w:end="294"/>
        <w:rPr/>
      </w:pPr>
      <w:r>
        <w:rPr/>
        <w:t xml:space="preserve">Wygląd powierzchni otynkowanych wg normy PN-70/B-10100 </w:t>
      </w:r>
    </w:p>
    <w:p>
      <w:pPr>
        <w:pStyle w:val="Normal"/>
        <w:tabs>
          <w:tab w:val="clear" w:pos="708"/>
          <w:tab w:val="center" w:pos="2362" w:leader="none"/>
        </w:tabs>
        <w:ind w:hanging="0" w:start="1134"/>
        <w:jc w:val="start"/>
        <w:rPr/>
      </w:pPr>
      <w:r>
        <w:rPr/>
        <w:t xml:space="preserve">Wady i uszkodzenia powierzchni tynków </w:t>
      </w:r>
    </w:p>
    <w:p>
      <w:pPr>
        <w:pStyle w:val="Normal"/>
        <w:ind w:hanging="10" w:start="1134" w:end="294"/>
        <w:rPr/>
      </w:pPr>
      <w:r>
        <w:rPr/>
        <w:t xml:space="preserve">Widoczne miejscowe nierówności powierzchni otynkowanych wynikające z techniki wykonania tynków są niedopuszczalne dla tynków gipsowych (doborowych), a dla tynków pospolitych dopuszczalne są o szerokości do 1 mm oraz długości 5 cm w liczbie 3 sztuk na 10 m˛ powierzchni otynkowanej. </w:t>
      </w:r>
    </w:p>
    <w:p>
      <w:pPr>
        <w:pStyle w:val="Normal"/>
        <w:numPr>
          <w:ilvl w:val="0"/>
          <w:numId w:val="7"/>
        </w:numPr>
        <w:ind w:hanging="360" w:start="1560" w:end="294"/>
        <w:rPr/>
      </w:pPr>
      <w:r>
        <w:rPr/>
        <w:t xml:space="preserve">wypryski i spęcznienia powstające na powierzchni tynków z powodu obecności w zaprawie nie zlasowanych cząstek wapnia, gliny itp. są niedopuszczalne. </w:t>
      </w:r>
    </w:p>
    <w:p>
      <w:pPr>
        <w:pStyle w:val="Normal"/>
        <w:numPr>
          <w:ilvl w:val="0"/>
          <w:numId w:val="7"/>
        </w:numPr>
        <w:ind w:hanging="360" w:start="1560" w:end="294"/>
        <w:rPr/>
      </w:pPr>
      <w:r>
        <w:rPr/>
        <w:t xml:space="preserve">pęknięcia są niedopuszczalne z wyjątkiem tynków surowych, w których dopuszcza się rysy skurczowe. </w:t>
      </w:r>
    </w:p>
    <w:p>
      <w:pPr>
        <w:pStyle w:val="Normal"/>
        <w:numPr>
          <w:ilvl w:val="0"/>
          <w:numId w:val="7"/>
        </w:numPr>
        <w:ind w:hanging="360" w:start="1560" w:end="294"/>
        <w:rPr/>
      </w:pPr>
      <w:r>
        <w:rPr/>
        <w:t xml:space="preserve">wykwity w postaci nalotu wykrystalizowanych na powierzchni tynku roztworów soli, pleśni itp. są niedopuszczalne. </w:t>
      </w:r>
    </w:p>
    <w:p>
      <w:pPr>
        <w:pStyle w:val="Normal"/>
        <w:numPr>
          <w:ilvl w:val="0"/>
          <w:numId w:val="7"/>
        </w:numPr>
        <w:ind w:hanging="360" w:start="1560" w:end="294"/>
        <w:rPr/>
      </w:pPr>
      <w:r>
        <w:rPr/>
        <w:t xml:space="preserve">zacieki są niedopuszczalne. </w:t>
      </w:r>
    </w:p>
    <w:p>
      <w:pPr>
        <w:pStyle w:val="Normal"/>
        <w:ind w:hanging="10" w:start="1134" w:end="294"/>
        <w:rPr/>
      </w:pPr>
      <w:r>
        <w:rPr/>
        <w:t xml:space="preserve">Wykonywanie tynków zwykłych - tynk wykonany jako trójwarstwowy: obrzutka, narzut i gładź jednolicie gładko zatarta – kat. III. Grubość 10 do 15mm. Czas zużycia zaprawy cementowo – wapiennej 5 godz. </w:t>
      </w:r>
    </w:p>
    <w:p>
      <w:pPr>
        <w:pStyle w:val="Normal"/>
        <w:ind w:hanging="10" w:start="1134" w:end="294"/>
        <w:rPr/>
      </w:pPr>
      <w:r>
        <w:rPr/>
      </w:r>
    </w:p>
    <w:p>
      <w:pPr>
        <w:pStyle w:val="Normal"/>
        <w:ind w:hanging="567" w:start="1134" w:end="294"/>
        <w:rPr/>
      </w:pPr>
      <w:r>
        <w:rPr/>
        <w:t xml:space="preserve">5.2.2.  Ścianka z płyt gipsowo – kartonowych  </w:t>
      </w:r>
    </w:p>
    <w:p>
      <w:pPr>
        <w:pStyle w:val="Normal"/>
        <w:ind w:hanging="10" w:start="1134" w:end="294"/>
        <w:rPr/>
      </w:pPr>
      <w:r>
        <w:rPr/>
        <w:t xml:space="preserve">Zasady ogólne – montaż ścianek z płyt gipsowo – kartonowych powinien odbywać się po wykonaniu prac mokrych na terenie budowy oraz wykonaniu podłączeń podstawowych instalacji. Wnętrze powinno być zabezpieczone przed opadami atmosferycznymi. Pomieszczenia powinny być suche </w:t>
        <w:br/>
        <w:t xml:space="preserve">i dobrze przewietrzone. Temperatura powietrza, w której wykonywane są prace, nie powinna być niższa niż +5°C (przy niższych temperaturach niedozwolone jest szpachlowanie). Przed rozpoczęciem prac montażowych pomieszczenia powinny być oczyszczone z gruzu i odpadków. </w:t>
      </w:r>
    </w:p>
    <w:p>
      <w:pPr>
        <w:pStyle w:val="Normal"/>
        <w:ind w:hanging="10" w:start="1134" w:end="294"/>
        <w:rPr/>
      </w:pPr>
      <w:r>
        <w:rPr/>
        <w:t xml:space="preserve">Przenoszenie płyt - przy zdejmowaniu ze stosu należy unikać przesuwania jednej po drugiej, aby nie uszkadzać licującego kartonu. Po zdjęciu ze stosu, płyty przenosi się w pozycji pionowej. Należy opierać płyty narożem o podłogę. Zaleca się używanie do przenoszenia specjalnych nosideł. </w:t>
      </w:r>
    </w:p>
    <w:p>
      <w:pPr>
        <w:pStyle w:val="Normal"/>
        <w:ind w:hanging="10" w:start="1134" w:end="294"/>
        <w:rPr/>
      </w:pPr>
      <w:r>
        <w:rPr/>
        <w:t xml:space="preserve">Montaż rusztu - należy przed montażem przygotować przejścia instalacyjne w profilach „C”. Listwy U przymocować, co 800 mm przy pomocy kołków mocujących do podłogi i sufitu. Profile C należy rozmieścić w równych odstępach max, co 600mm. Pod profile U oraz skrajne profile C należy podłożyć taśmę uszczelniającą akustycznie. </w:t>
      </w:r>
    </w:p>
    <w:p>
      <w:pPr>
        <w:pStyle w:val="Normal"/>
        <w:ind w:hanging="10" w:start="1134" w:end="294"/>
        <w:rPr/>
      </w:pPr>
      <w:r>
        <w:rPr/>
        <w:t xml:space="preserve">Montaż płyt - płyty g-k mocować do rusztu blachowkrętami. Wszystkie wkręty powinny być jednakowo zatopione w płycie na głębokość ok. 0,1mm. Wkręty należy wprowadzać do płyty wkrętarką elektryczną tak, aby oś wkręta była prostopadła do płaszczyzn płyty. Podłużne krawędzie płyt powinny stykać się na profilach C. Kolejność w jakiej płyty są mocowane, powinna być uzależniona od kierunku ustawienia słupków C. Wkręty przy mocowaniu należy umieszczać </w:t>
        <w:br/>
        <w:t xml:space="preserve">w odległości nie mniejszej niż 10mm od krawędzi otulonych kartonem oraz co najmniej 15mm od krawędzi ostro ściętych. Słupki C do których mocowana będzie ościeżnica wymagają mocowania do sufitu i podłogi. Na nadprożu ościeżnicy wykonać rygiel z profilu U przymocowany do obu słupków. Należy tak rozmierzyć ustawienie płyt by otwór drzwiowy był wcięty w sąsiadującą płytę. Połączenia płyt w nadprożu drzwi muszą opierać się na specjalnie tam postawionych odcinkach profilu C. Płyty służące do obłożenia drugiej strony ściany powinny być mocowane mijankowo </w:t>
        <w:br/>
        <w:t xml:space="preserve">w stosunku do płyt pierwszej strony ściany. Rozprowadzenie instalacji wykonuje się w trakcie montażu ściany po zamontowaniu płyt po jednej stronie ściany. </w:t>
      </w:r>
    </w:p>
    <w:p>
      <w:pPr>
        <w:pStyle w:val="Normal"/>
        <w:ind w:hanging="10" w:start="1134" w:end="294"/>
        <w:rPr/>
      </w:pPr>
      <w:r>
        <w:rPr/>
        <w:t xml:space="preserve">Montaż izolacji z wełny mineralnej - izolację termiczną z płyt wełny mineralnej należy układać po zakończeniu prac instalacyjnych. Płyty wełny mineralnej należy układać w sposób ściśle przylegający do siebie, bez postawienia luk i szpar. Wełna mineralna musi wypełniać ruszt na całą grubość ściany, co zabezpieczy izolacje przed osuwaniem.  </w:t>
      </w:r>
    </w:p>
    <w:p>
      <w:pPr>
        <w:pStyle w:val="Normal"/>
        <w:ind w:hanging="10" w:start="1134" w:end="294"/>
        <w:rPr/>
      </w:pPr>
      <w:r>
        <w:rPr/>
        <w:t xml:space="preserve">Spoinowanie i szpachlowanie - wilgotność płyt nie może być większa od wilgotności panującej podczas eksploatacji w pomieszczeniu. Przygotowanie masy szpachlowej: mieszanie ręczne lub mieszadłem mechanicznym wolnoobrotowym zaczynu o proporcjach wagowych wody i gipsu ok. 1:0,7. Masa szpachlowa może być używana przez ok. 60min. Od momentu zmieszania z wodą. Naczynie używane do mieszania zaczynu powinno być czyste i pozbawione stwardniałych cząstek poprzednio rozrobionego zaczyn. Szczeliny na styku płyt o szerokości większej niż 1mm wymagają wstępnego wypełnienia szpachlówką. Na styki pomiędzy płytami, o szczelinie mniejszej niż 1mm, można bezpośrednio nakładać szpachlówkę stanowiącą podkład pod taśmę spoinową. Na styk, ze szczeliną większą niż 1 mm, podkład pod taśmę nakłada się po stwardnieniu szpachlówki, która wypełnia spoinę. Taśmę należy dokładnie wcisnąć w świeżo nałożoną masę oraz pokryć wyciśniętą spod niej masą. Tak zaszpachlowana powierzchnia powinna licować z powierzchnią sąsiadujących płyt. Ostateczne szpachlowanie, przy użyciu pracy i rzadszej masy szpachlowej, należy przeprowadzić po stwardnieniu poprzedniej warstwy. Ostatecznym wykończeniem jest szlifowanie drobnoziarnistym papierem ściernym. </w:t>
      </w:r>
    </w:p>
    <w:p>
      <w:pPr>
        <w:pStyle w:val="Normal"/>
        <w:ind w:hanging="10" w:start="1134" w:end="294"/>
        <w:rPr/>
      </w:pPr>
      <w:r>
        <w:rPr/>
        <w:t xml:space="preserve">Przy zastosowaniu samoprzylepnej taśmy nie jest wymagane wykonanie warstwy podkładowej </w:t>
        <w:br/>
        <w:t xml:space="preserve">w miejscu spoinowania. </w:t>
      </w:r>
    </w:p>
    <w:p>
      <w:pPr>
        <w:pStyle w:val="Normal"/>
        <w:ind w:hanging="10" w:start="1134" w:end="294"/>
        <w:rPr/>
      </w:pPr>
      <w:r>
        <w:rPr/>
        <w:t xml:space="preserve">Naroża wewnętrzne ścian gipsowo – kartonowych szpachluje się wzmacniając je narożnikową taśmą papierową. Naroże zewnętrzne zabezpieczyć przy pomocy narożnika metalowego pokrytego dwukrotnie masa szpachlową. </w:t>
      </w:r>
    </w:p>
    <w:p>
      <w:pPr>
        <w:pStyle w:val="Normal"/>
        <w:ind w:hanging="10" w:start="1134" w:end="294"/>
        <w:rPr/>
      </w:pPr>
      <w:r>
        <w:rPr/>
      </w:r>
    </w:p>
    <w:p>
      <w:pPr>
        <w:pStyle w:val="Normal"/>
        <w:tabs>
          <w:tab w:val="clear" w:pos="708"/>
          <w:tab w:val="center" w:pos="1449" w:leader="none"/>
        </w:tabs>
        <w:ind w:hanging="567" w:start="1134"/>
        <w:jc w:val="start"/>
        <w:rPr/>
      </w:pPr>
      <w:r>
        <w:rPr/>
        <w:t xml:space="preserve">5.2.3. </w:t>
        <w:tab/>
        <w:t xml:space="preserve">Okładziny ścienne  </w:t>
      </w:r>
    </w:p>
    <w:p>
      <w:pPr>
        <w:pStyle w:val="Normal"/>
        <w:ind w:hanging="10" w:start="1134" w:end="294"/>
        <w:rPr/>
      </w:pPr>
      <w:r>
        <w:rPr/>
        <w:t xml:space="preserve">Zasady ogólne - roboty okładzinowe wewnętrzne mogą być rozpoczęte po wykonaniu tynków, robót instalacyjnych (bez montażu armatur i aparatów), osadzeniu i dopasowaniu ościeżnic i stolarki budowlanej, a także innych robót (np. malarskich) jeżeli wykonanie tych robót w późniejszym terminie mogłoby spowodować uszkodzenie lub trwałe zanieczyszczenie okładzin. </w:t>
      </w:r>
    </w:p>
    <w:p>
      <w:pPr>
        <w:pStyle w:val="Normal"/>
        <w:ind w:hanging="10" w:start="1134" w:end="294"/>
        <w:rPr/>
      </w:pPr>
      <w:r>
        <w:rPr/>
        <w:t xml:space="preserve">Okładzina powinna być trwale połączona z podłożem. Materiał przewidziany do przyklejania musi byś połączony z podłożem na całej powierzchni. </w:t>
      </w:r>
    </w:p>
    <w:p>
      <w:pPr>
        <w:pStyle w:val="Normal"/>
        <w:ind w:hanging="10" w:start="1134" w:end="294"/>
        <w:rPr/>
      </w:pPr>
      <w:r>
        <w:rPr/>
        <w:t xml:space="preserve">W przypadku okładzin przyklejanych do podłoża powinny być stosowane jedynie kleje zalecane do danego materiału okładzinowego z zachowaniem warunków technicznych ich stosowania. Podłoża muszą odpowiadać szczegółowym wymaganiom technicznym dla danego rodzaju stosowanej okładziny. </w:t>
      </w:r>
    </w:p>
    <w:p>
      <w:pPr>
        <w:pStyle w:val="Normal"/>
        <w:ind w:hanging="10" w:start="1134" w:end="294"/>
        <w:rPr/>
      </w:pPr>
      <w:r>
        <w:rPr/>
        <w:t xml:space="preserve">Okładziny powinny wykazywać odporność na działanie światła. Okładziny powinny być wykonywane z zachowaniem szczególnej staranności. Wymagane jest dokładne dopasowanie okładziny w narożach i miejscach styku z innymi elementami. Miejsca te powinny być odpowiednio wykończone. Okładzina nie może mieć plam, pęcherzy, pęknięć, zarysowań, ani odstawać od podłoża, a także ujawniać na powierzchni defektów podłoża. </w:t>
      </w:r>
    </w:p>
    <w:p>
      <w:pPr>
        <w:pStyle w:val="Normal"/>
        <w:ind w:hanging="10" w:start="1134" w:end="294"/>
        <w:rPr/>
      </w:pPr>
      <w:r>
        <w:rPr/>
      </w:r>
    </w:p>
    <w:p>
      <w:pPr>
        <w:pStyle w:val="Normal"/>
        <w:tabs>
          <w:tab w:val="clear" w:pos="708"/>
          <w:tab w:val="center" w:pos="2047" w:leader="none"/>
        </w:tabs>
        <w:ind w:hanging="567" w:start="1134"/>
        <w:jc w:val="start"/>
        <w:rPr/>
      </w:pPr>
      <w:r>
        <w:rPr/>
        <w:t xml:space="preserve">5.2.4. </w:t>
        <w:tab/>
        <w:t xml:space="preserve">Posadzki z paneli winylowych  </w:t>
      </w:r>
    </w:p>
    <w:p>
      <w:pPr>
        <w:pStyle w:val="Normal"/>
        <w:ind w:hanging="10" w:start="1134" w:end="294"/>
        <w:rPr/>
      </w:pPr>
      <w:r>
        <w:rPr>
          <w:u w:val="single"/>
        </w:rPr>
        <w:t>Przygotowanie podłoża</w:t>
      </w:r>
      <w:r>
        <w:rPr/>
        <w:t xml:space="preserve"> – Przygotowanie podłoża należy rozpocząć od dokładnego oczyszczenia powierzchni, która musi być sucha, trwała, pozbawiona pęknięć oraz wszelkich zanieczyszczeń, takich jak stare kleje, farby czy oleje, a następnie precyzyjnie odkurzona odkurzaczem przemysłowym. Podłoże należy przeszlifować maszynowo w celu usunięcia mleczka cementowego i otwarcia porów betonu, po czym należy zastosować grunt systemowy dobrany do chłonności podłoża, aby zwiększyć przyczepność warstwy wyrównawczej. Następnie należy wykonać wylewkę z masy samopoziomującej o grubości minimum 3 mm i wytrzymałości min. C20/F5, a po jej wyschnięciu powierzchnię przeszlifować papierem o granulacji 40–60 i ponownie odkurzyć. Przed montażem płytki winylowe muszą przejść proces aklimatyzacji w pomieszczeniu docelowym przez minimum 24–48 godzin w temperaturze 18–25°C, będąc składowane płasko w małych stosach. </w:t>
      </w:r>
    </w:p>
    <w:p>
      <w:pPr>
        <w:pStyle w:val="Normal"/>
        <w:ind w:hanging="10" w:start="1134" w:end="294"/>
        <w:rPr/>
      </w:pPr>
      <w:r>
        <w:rPr>
          <w:u w:val="single"/>
        </w:rPr>
        <w:t>Montowanie okładziny</w:t>
      </w:r>
      <w:r>
        <w:rPr/>
        <w:t xml:space="preserve"> – Prace montażowe poprzedza wyznaczenie osi pomieszczenia i zaplanowanie układu tak, aby docinki przy ścianach nie były węższe niż 5 cm, przy zachowaniu kierunku układania zgodnego z projektem lub padaniem światła. Klej należy nanosić pacą ząbkowaną A1 lub A2 na powierzchnię możliwą do wyklejenia w czasie otwartym (ok. 20–30 min), zachowując wymagany czas wstępnego odparowania aż do uzyskania odpowiedniej lepkości. Płytki należy układać metodą „na styk” bez naprężeń, a następnie, najpóźniej po 30 minutach od ułożenia partii materiału, całą powierzchnię należy poddać dociskowi mechanicznemu walcem o masie określonej przez producenta, powtarzając proces po około 60 minutach ze szczególnym uwzględnieniem styków.</w:t>
      </w:r>
    </w:p>
    <w:p>
      <w:pPr>
        <w:pStyle w:val="Normal"/>
        <w:ind w:hanging="10" w:start="1134" w:end="294"/>
        <w:rPr/>
      </w:pPr>
      <w:r>
        <w:rPr>
          <w:u w:val="single"/>
        </w:rPr>
        <w:t>Wykończenie okładziny</w:t>
      </w:r>
      <w:r>
        <w:rPr/>
        <w:t xml:space="preserve"> – W ramach prac wykończeniowych należy zachować szczeliny dylatacyjne o szerokości 3–5 mm przy ścianach i stałych elementach zabudowy, a w miejscach narażonych na wilgoć opcjonalnie uszczelnić styki preparatem typu „zimny spaw”. Listwy przypodłogowe należy montować wyłącznie do ściany, zapewniając swobodną pracę posadzki. Po zakończeniu montażu ruch pieszy dopuszczalny jest po 24 godzinach, natomiast pełne obciążenie biura, w tym ustawianie ciężkich mebli i użytkowanie foteli na kółkach, może nastąpić po upływie 48–72 godzin, po pełnym związaniu kleju.</w:t>
      </w:r>
    </w:p>
    <w:p>
      <w:pPr>
        <w:pStyle w:val="Normal"/>
        <w:ind w:hanging="10" w:start="1134" w:end="294"/>
        <w:rPr/>
      </w:pPr>
      <w:r>
        <w:rPr/>
      </w:r>
    </w:p>
    <w:p>
      <w:pPr>
        <w:pStyle w:val="Normal"/>
        <w:tabs>
          <w:tab w:val="clear" w:pos="708"/>
          <w:tab w:val="center" w:pos="4125" w:leader="none"/>
        </w:tabs>
        <w:spacing w:lineRule="auto" w:line="259" w:before="0" w:after="27"/>
        <w:ind w:hanging="567" w:start="1134"/>
        <w:jc w:val="start"/>
        <w:rPr/>
      </w:pPr>
      <w:r>
        <w:rPr/>
        <w:t xml:space="preserve">5.2.6. </w:t>
        <w:tab/>
        <w:t>Posadzki z płytek ceramicznych – płytki ceramiczne lub granitogres kl.scieralnosci V</w:t>
      </w:r>
    </w:p>
    <w:p>
      <w:pPr>
        <w:pStyle w:val="Normal"/>
        <w:ind w:hanging="10" w:start="1134" w:end="294"/>
        <w:rPr/>
      </w:pPr>
      <w:r>
        <w:rPr/>
        <w:t xml:space="preserve">Przygotowanie podłoża - podłoże powinno być pozbawione nierówności, odolejone, starannie oczyszczone, odtłuszczone i odkurzone oraz nośne. W przypadku zastosowania zaprawy naprawczej dla wyrównania nierówności podłoże powinno być suche. Dla polepszenia przyczepności należy zastosować grunt – emulsję zwiększającą przyczepność zapraw klejowych. W przypadku wykonywania okładzin w wysokich temperaturach może zajść konieczność kilkukrotnego gruntowania dla zmniejszenia chłonności podłoża. Układanie płytek można zacząć po całkowitym wyschnięciu zagruntowanej powierzchni. Dokładność wykonania powierzchni podkładu powinna być taka, aby łata długości 2 m przyłożona w dowolnym miejscu podkładu nie wykazywała odchyleń większych niż 5mm. </w:t>
      </w:r>
    </w:p>
    <w:p>
      <w:pPr>
        <w:pStyle w:val="Normal"/>
        <w:ind w:hanging="10" w:start="1134" w:end="294"/>
        <w:rPr/>
      </w:pPr>
      <w:r>
        <w:rPr/>
        <w:t xml:space="preserve">Układanie i wykończenie posadzki – do wykonywania posadzek z materiałów mineralnych można przystąpić po wykonaniu tynków. Podczas wykonywania robót temperatura otoczenia powinna być nie niższa niż +5°C, temperatura ta powinna być utrzymana przez 5 dni po wykonaniu. Sposób wykonania gotowej do użycia zaprawy klejącej oraz otwarty czas pracy, czas naskórkowania, a także czas korekty wg danych producenta. Roboty posadzkowe rozpoczyna się od ułożenia spoziomowanych płytek – reperów, których powierzchnia wyznacza położenie płaszczyzny posadzki. Następnie układa się pasy kierunkowe. Cokół należy wykonać z cokolików systemowych.  Spoinowanie można rozpocząć, gdy zaprawa klejowa jest stwardniała i wyschnięta. Podłoże i boki spoiny powinny mieć taką samą chłonność. Ze spoin należy usunąć resztki zaprawy klejowej, środki adhezyjne i zabrudzenia. Należy je wydrapać bezpośrednio po założeniu płytek na grubość płytki. Przed wykonaniem spoinowania spoinę i płytki należy w celu redukcji chłonności zwilżyć wodą. Miejsca gdzie okładzina przylega do powierzchni o różnym współczynniku rozszerzalności np.  miejsca przeprowadzenia rur spoinowanie należy wykonać materiałem trwale elastycznym – silikonem sanitarnym. Przygotowanie zaprawy do spoin wg danych producenta. Pozostałości zaprawy usunąć z powierzchni płytki w ciągu 30 min. Przy pomocy gąbki zwilżonej wodą. Należy chronić zaprawę fugową przed szybkim ubytkiem wody. Pielęgnacja twardniejących fug wg danych producenta zaprawy do spoinowania. Uszczelnienia z kitu silikonowego należy wykonywać, gdy temperatura nie jest niższa niż +5°C i nie wyższa niż +40°C. Podłoże do uszczelniania silikonem powinno być suche i oczyszczone z pozostałości kurzu, brudu itp. Unikać kontaktu ze skórą, produkt drażniący. Podczas stosowania kitu silikonowego wietrzyć pomieszczenie. Używać środków ochrony osobistej. W przedsionku należy wykonać wgłębienie na wycieraczkę wyłożone płytkami. Linię łączenia posadzki z płytek ceramicznych z innym rodzajem posadzki należy wykończyć profilem aluminiowym. Płytki i fugi należy zabezpieczyć przed plamami z tłuszczów i innych środków przez zaimpregnowanie środkiem ochronnym. Dla zaimpregnowania podłoże musi być suche, oczyszczone z kurzu, brudu, olejów, tłuszczów i wosku. Sposób użycia wg danych producenta. </w:t>
      </w:r>
    </w:p>
    <w:p>
      <w:pPr>
        <w:pStyle w:val="Normal"/>
        <w:ind w:hanging="10" w:start="1134" w:end="294"/>
        <w:rPr/>
      </w:pPr>
      <w:r>
        <w:rPr/>
      </w:r>
    </w:p>
    <w:p>
      <w:pPr>
        <w:pStyle w:val="Normal"/>
        <w:tabs>
          <w:tab w:val="clear" w:pos="708"/>
          <w:tab w:val="center" w:pos="1898" w:leader="none"/>
        </w:tabs>
        <w:ind w:hanging="567" w:start="1134"/>
        <w:jc w:val="start"/>
        <w:rPr/>
      </w:pPr>
      <w:r>
        <w:rPr/>
        <w:t xml:space="preserve">5.2.7. </w:t>
        <w:tab/>
        <w:t xml:space="preserve">Posadzki – wykładzina PCV </w:t>
      </w:r>
    </w:p>
    <w:p>
      <w:pPr>
        <w:pStyle w:val="Normal"/>
        <w:tabs>
          <w:tab w:val="clear" w:pos="708"/>
          <w:tab w:val="center" w:pos="2018" w:leader="none"/>
        </w:tabs>
        <w:ind w:hanging="0" w:start="1134"/>
        <w:jc w:val="start"/>
        <w:rPr/>
      </w:pPr>
      <w:r>
        <w:rPr/>
        <w:t xml:space="preserve">Wykładzina PCV homogeniczne </w:t>
      </w:r>
    </w:p>
    <w:p>
      <w:pPr>
        <w:pStyle w:val="Normal"/>
        <w:ind w:hanging="10" w:start="1134" w:end="294"/>
        <w:rPr/>
      </w:pPr>
      <w:r>
        <w:rPr/>
        <w:t>Przygotowanie podłoża – podłoże musi być czyste (odolejone, odkurzone),  równe i gładkie, suche (wilgotność max. 2,0%) ,  twarde (min. 30 kG/cm</w:t>
      </w:r>
      <w:r>
        <w:rPr>
          <w:vertAlign w:val="superscript"/>
        </w:rPr>
        <w:t>2</w:t>
      </w:r>
      <w:r>
        <w:rPr/>
        <w:t xml:space="preserve">) </w:t>
      </w:r>
    </w:p>
    <w:p>
      <w:pPr>
        <w:pStyle w:val="Normal"/>
        <w:ind w:hanging="10" w:start="1134" w:end="294"/>
        <w:rPr/>
      </w:pPr>
      <w:r>
        <w:rPr/>
        <w:t xml:space="preserve">Dla zapewnienia odpowiednich parametrów podłoża należy wylać warstwę masy wyrównującej ok. 3 mm. Przed wylaniem masy wyrównującej podłoże betonowe należy zagruntować emulsją gruntującą do podłoży chłonnych. </w:t>
      </w:r>
    </w:p>
    <w:p>
      <w:pPr>
        <w:pStyle w:val="Normal"/>
        <w:ind w:hanging="10" w:start="1134" w:end="294"/>
        <w:rPr/>
      </w:pPr>
      <w:r>
        <w:rPr/>
        <w:t xml:space="preserve">Układanie posadzki – do układania wykładziny można przystąpić po wyschnięciu masy wyrównawczej (czas schnięcia ok. 1 doba / 1 mm grubości). Temperatura powietrza i posadzki </w:t>
        <w:br/>
        <w:t>w pomieszczeniu musi wynosić min. 17</w:t>
      </w:r>
      <w:r>
        <w:rPr>
          <w:vertAlign w:val="superscript"/>
        </w:rPr>
        <w:t>0</w:t>
      </w:r>
      <w:r>
        <w:rPr/>
        <w:t xml:space="preserve">C. Wykładzina i klej powinny być składowane </w:t>
        <w:br/>
        <w:t xml:space="preserve">w temperaturze min. 17 </w:t>
      </w:r>
      <w:r>
        <w:rPr>
          <w:vertAlign w:val="superscript"/>
        </w:rPr>
        <w:t>0</w:t>
      </w:r>
      <w:r>
        <w:rPr/>
        <w:t xml:space="preserve">C na 24 godzin przed planowanym montażem w pomieszczeniu w którym będą montowane.  </w:t>
      </w:r>
    </w:p>
    <w:p>
      <w:pPr>
        <w:pStyle w:val="Normal"/>
        <w:ind w:hanging="10" w:start="1134" w:end="294"/>
        <w:rPr/>
      </w:pPr>
      <w:r>
        <w:rPr/>
        <w:t xml:space="preserve">Montaż wykładziny rozpocząć od krawędzi ściany położonej najdalej od wejścia, wykładzinę należy przykleić cała powierzchnią do podłoża, po rozwinięciu wykładziny zawijamy jej połowę </w:t>
        <w:br/>
        <w:t xml:space="preserve">i smarujemy podkład klejem, gdy klej uzyska odpowiednią siłę klejącą (po około 10-15 minutach od nałożenia) należy odwinąć zawiniętą połowę wykładziny i docisnąć ją do kleju a następnie całą powierzchnię wykładziny przewalcować walcem dociskowym, wykładzinę należy wywinąć </w:t>
        <w:br/>
        <w:t xml:space="preserve">i przykleić do ściany na wysokość 12 cm. Spawanie styków można rozpocząć po 24 godzinach od przyklejenia wykładziny, styki wykładziny należy zafrezować, a następnie w powstałe wyżłobienie wprowadzić na gorąco sznur spawalniczy, po wykonaniu spawania nadmiar sznura ściąć, aby tworzył z wykładziną jednolitą powierzchnię. </w:t>
      </w:r>
    </w:p>
    <w:p>
      <w:pPr>
        <w:pStyle w:val="Normal"/>
        <w:ind w:hanging="10" w:start="1134" w:end="294"/>
        <w:rPr/>
      </w:pPr>
      <w:r>
        <w:rPr/>
      </w:r>
    </w:p>
    <w:p>
      <w:pPr>
        <w:pStyle w:val="Normal"/>
        <w:ind w:hanging="567" w:start="1134" w:end="294"/>
        <w:rPr/>
      </w:pPr>
      <w:r>
        <w:rPr/>
        <w:t xml:space="preserve">5.2.8.  Posadzki – wykładziny dywanowe  </w:t>
      </w:r>
    </w:p>
    <w:p>
      <w:pPr>
        <w:pStyle w:val="Normal"/>
        <w:tabs>
          <w:tab w:val="clear" w:pos="708"/>
          <w:tab w:val="center" w:pos="3770" w:leader="none"/>
        </w:tabs>
        <w:ind w:hanging="0" w:start="1134"/>
        <w:jc w:val="start"/>
        <w:rPr/>
      </w:pPr>
      <w:r>
        <w:rPr/>
        <w:t xml:space="preserve">Wykładziny dywanowe do stosowania w budynkach użyteczności publicznej   </w:t>
      </w:r>
    </w:p>
    <w:p>
      <w:pPr>
        <w:pStyle w:val="Normal"/>
        <w:ind w:hanging="10" w:start="1134" w:end="294"/>
        <w:rPr/>
      </w:pPr>
      <w:r>
        <w:rPr/>
        <w:t>Przygotowanie podłoża – podłoże musi być czyste (odolejone, odkurzone),  równe i gładkie, suche (wilgotność max. 2,5%),  twarde (min. 30 kG/cm</w:t>
      </w:r>
      <w:r>
        <w:rPr>
          <w:vertAlign w:val="superscript"/>
        </w:rPr>
        <w:t>2</w:t>
      </w:r>
      <w:r>
        <w:rPr/>
        <w:t xml:space="preserve">) </w:t>
      </w:r>
    </w:p>
    <w:p>
      <w:pPr>
        <w:pStyle w:val="Normal"/>
        <w:ind w:hanging="10" w:start="1134" w:end="294"/>
        <w:rPr/>
      </w:pPr>
      <w:r>
        <w:rPr/>
        <w:t xml:space="preserve">Dla zapewnienia odpowiednich parametrów podłoża należy wylać warstwę masy wyrównującej ok. 3 mm . Przed wylaniem masy wyrównującej podłoże betonowe należy zagruntować emulsją gruntującą do podłoży chłonnych. </w:t>
      </w:r>
    </w:p>
    <w:p>
      <w:pPr>
        <w:pStyle w:val="Normal"/>
        <w:ind w:hanging="10" w:start="1134" w:end="294"/>
        <w:rPr/>
      </w:pPr>
      <w:r>
        <w:rPr/>
        <w:t xml:space="preserve">Układanie posadzki – do układania wykładziny można przystąpić po wyschnięciu masy wyrównawczej (czas schnięcia ok. 1 doba/ 1 mm grubości). Temperatura powietrza i posadzki </w:t>
        <w:br/>
        <w:t>w pomieszczeniu musi wynosić min. 17</w:t>
      </w:r>
      <w:r>
        <w:rPr>
          <w:vertAlign w:val="superscript"/>
        </w:rPr>
        <w:t>0</w:t>
      </w:r>
      <w:r>
        <w:rPr/>
        <w:t xml:space="preserve">C. Wykładzina i klej powinny być składowane </w:t>
        <w:br/>
        <w:t xml:space="preserve">w temperaturze min. 17 </w:t>
      </w:r>
      <w:r>
        <w:rPr>
          <w:vertAlign w:val="superscript"/>
        </w:rPr>
        <w:t>0</w:t>
      </w:r>
      <w:r>
        <w:rPr/>
        <w:t>C na dobę przed planowanym montażem. Nie przewiduje się stosowania listew przypodłogowych, wykładziny należy wywinąć na ściany na wysokość około 10 cm. Do użytkowania wykładziny można przystąpić 24 godziny po zakończeniu prac.</w:t>
      </w:r>
    </w:p>
    <w:p>
      <w:pPr>
        <w:pStyle w:val="Normal"/>
        <w:ind w:hanging="10" w:start="1134" w:end="294"/>
        <w:rPr/>
      </w:pPr>
      <w:r>
        <w:rPr/>
      </w:r>
    </w:p>
    <w:p>
      <w:pPr>
        <w:pStyle w:val="Normal"/>
        <w:ind w:hanging="567" w:start="1134" w:end="294"/>
        <w:rPr/>
      </w:pPr>
      <w:r>
        <w:rPr/>
        <w:t xml:space="preserve">5.2.9.  Posadzki – panele podłogowe </w:t>
      </w:r>
    </w:p>
    <w:p>
      <w:pPr>
        <w:pStyle w:val="Normal"/>
        <w:tabs>
          <w:tab w:val="clear" w:pos="708"/>
          <w:tab w:val="center" w:pos="2539" w:leader="none"/>
        </w:tabs>
        <w:ind w:hanging="0" w:start="1134"/>
        <w:jc w:val="start"/>
        <w:rPr/>
      </w:pPr>
      <w:r>
        <w:rPr/>
        <w:tab/>
        <w:t xml:space="preserve">Panele podłogowe o ścieralności 17 000 cykli  </w:t>
      </w:r>
    </w:p>
    <w:p>
      <w:pPr>
        <w:pStyle w:val="Normal"/>
        <w:ind w:hanging="10" w:start="1134" w:end="294"/>
        <w:rPr/>
      </w:pPr>
      <w:r>
        <w:rPr/>
        <w:t xml:space="preserve">Przygotowanie podłoża – podłoże musi być czyste (odolejone, odkurzone),  równe i gładkie, suche </w:t>
      </w:r>
    </w:p>
    <w:p>
      <w:pPr>
        <w:pStyle w:val="Normal"/>
        <w:ind w:hanging="10" w:start="1134" w:end="294"/>
        <w:rPr/>
      </w:pPr>
      <w:r>
        <w:rPr/>
        <w:t>(wilgotność max. 2,5%),  twarde (min. 30 kG/cm</w:t>
      </w:r>
      <w:r>
        <w:rPr>
          <w:vertAlign w:val="superscript"/>
        </w:rPr>
        <w:t>2</w:t>
      </w:r>
      <w:r>
        <w:rPr/>
        <w:t xml:space="preserve">) </w:t>
      </w:r>
    </w:p>
    <w:p>
      <w:pPr>
        <w:pStyle w:val="Normal"/>
        <w:ind w:hanging="10" w:start="1134" w:end="294"/>
        <w:rPr/>
      </w:pPr>
      <w:r>
        <w:rPr/>
        <w:t xml:space="preserve">Dla zapewnienia odpowiednich parametrów podłoża należy wylać warstwę masy wyrównującej ok. 3 mm. Przed wylaniem masy wyrównującej podłoże betonowe należy zagruntować emulsją gruntującą do podłoży chłonnych. </w:t>
      </w:r>
    </w:p>
    <w:p>
      <w:pPr>
        <w:pStyle w:val="Normal"/>
        <w:ind w:hanging="10" w:start="1134" w:end="294"/>
        <w:rPr/>
      </w:pPr>
      <w:r>
        <w:rPr/>
        <w:t xml:space="preserve">Układanie posadzki – do układania wykładziny można przystąpić po wyschnięciu masy wyrównawczej (czas schnięcia ok. 1 doba/ 1 mm grubości). Temperatura powietrza i posadzki </w:t>
        <w:br/>
        <w:t>w pomieszczeniu musi wynosić min. 17</w:t>
      </w:r>
      <w:r>
        <w:rPr>
          <w:vertAlign w:val="superscript"/>
        </w:rPr>
        <w:t>0</w:t>
      </w:r>
      <w:r>
        <w:rPr/>
        <w:t xml:space="preserve">C. Panele i klej powinny być składowane w temperaturze min. 17 </w:t>
      </w:r>
      <w:r>
        <w:rPr>
          <w:vertAlign w:val="superscript"/>
        </w:rPr>
        <w:t>0</w:t>
      </w:r>
      <w:r>
        <w:rPr/>
        <w:t>C na dobę przed planowanym montażem. Nie przewiduje się stosowania listew przypodłogowych. Do użytkowania wykładziny można przystąpić 24 godziny po zakończeniu prac.</w:t>
      </w:r>
    </w:p>
    <w:p>
      <w:pPr>
        <w:pStyle w:val="Normal"/>
        <w:ind w:hanging="10" w:start="1134" w:end="294"/>
        <w:rPr/>
      </w:pPr>
      <w:r>
        <w:rPr/>
        <w:t xml:space="preserve"> </w:t>
      </w:r>
    </w:p>
    <w:p>
      <w:pPr>
        <w:pStyle w:val="Normal"/>
        <w:ind w:hanging="567" w:start="1134" w:end="294"/>
        <w:rPr/>
      </w:pPr>
      <w:r>
        <w:rPr/>
        <w:t xml:space="preserve">5.2.10. Podłoża  </w:t>
      </w:r>
    </w:p>
    <w:p>
      <w:pPr>
        <w:pStyle w:val="Normal"/>
        <w:ind w:hanging="10" w:start="1134" w:end="294"/>
        <w:rPr/>
      </w:pPr>
      <w:r>
        <w:rPr/>
        <w:t xml:space="preserve">Podkład powinien mieć szczeliny dylatacyjne wzdłuż ścian (podłogi powinny być wykonane jako podłogi pływające), oraz w miejscach oddzielających fragmenty powierzchni o różniących się wymiarach, szczeliny przeciwskurczowe w rozstawie nie większym niż 6 m, przy czym powierzchnia zdylatowanego pola zbliżonego do kwadratu nie powinna być większa niż 36 m, </w:t>
        <w:br/>
        <w:t xml:space="preserve">a w korytarzach w rozstawie nie większym od 2 do 2,5 – krotnej ich szerokości, przy spodziewanych znacznych zmianach temperatury największa powierzchnia powinna być ograniczona do 10m˛. </w:t>
      </w:r>
    </w:p>
    <w:p>
      <w:pPr>
        <w:pStyle w:val="Normal"/>
        <w:ind w:hanging="10" w:start="1134" w:end="294"/>
        <w:rPr/>
      </w:pPr>
      <w:r>
        <w:rPr/>
        <w:t xml:space="preserve">Podkład układa się pomiędzy listwami kierunkowymi wyznaczającymi jej grubość oraz płaszczyznę powierzchni. Po ułożeniu beton należy zagęścić łatą wibracyjną lub przez ubijanie, a następnie wyrównać i wygładzać przez zacieranie. Wykonany podkład powinien twardnieć co najmniej 3 dni i w tym czasie nie powinno się po nim chodzić. W ciągu następnych 10 dni podkład powinien być pielęgnowany. Prawidłowo wykonany podkład powinien po 6 tygodniach wykazywać wilgotność ok. 3%. Podkład powinien być wykonywany w temperaturze możliwie zbliżonej do użytkowania podłogi (temp. Nie powinna być niższa, niż 5°C). </w:t>
      </w:r>
    </w:p>
    <w:p>
      <w:pPr>
        <w:pStyle w:val="Normal"/>
        <w:ind w:hanging="10" w:start="1134" w:end="294"/>
        <w:rPr/>
      </w:pPr>
      <w:r>
        <w:rPr/>
        <w:t xml:space="preserve">Wylewkę samopoziomującą wykonać zgodnie z instrukcją wylewania masy podaną przez producenta. </w:t>
      </w:r>
    </w:p>
    <w:p>
      <w:pPr>
        <w:pStyle w:val="Normal"/>
        <w:ind w:hanging="10" w:start="1134" w:end="294"/>
        <w:rPr/>
      </w:pPr>
      <w:r>
        <w:rPr/>
        <w:t xml:space="preserve">Przestrzegać reżimu technicznego. </w:t>
      </w:r>
    </w:p>
    <w:p>
      <w:pPr>
        <w:pStyle w:val="Normal"/>
        <w:ind w:hanging="0" w:start="1134" w:end="294"/>
        <w:rPr/>
      </w:pPr>
      <w:r>
        <w:rPr/>
        <w:t xml:space="preserve">Należy wykonać spadki do wpustów podłogowych w pomieszczeniach sanitarnych </w:t>
        <w:br/>
        <w:t xml:space="preserve">i technologicznych.  </w:t>
        <w:tab/>
        <w:t xml:space="preserve">Roboty betonowe należy prowadzić zgodnie z normą PN-63/B-06251. </w:t>
      </w:r>
    </w:p>
    <w:p>
      <w:pPr>
        <w:pStyle w:val="Normal"/>
        <w:ind w:hanging="0" w:start="1134" w:end="294"/>
        <w:rPr/>
      </w:pPr>
      <w:r>
        <w:rPr/>
      </w:r>
    </w:p>
    <w:p>
      <w:pPr>
        <w:pStyle w:val="Normal"/>
        <w:ind w:hanging="567" w:start="1134" w:end="294"/>
        <w:rPr/>
      </w:pPr>
      <w:r>
        <w:rPr/>
        <w:t xml:space="preserve">5.2.11. Stolarka drzwiowa  </w:t>
      </w:r>
    </w:p>
    <w:p>
      <w:pPr>
        <w:pStyle w:val="Normal"/>
        <w:ind w:hanging="10" w:start="1134" w:end="294"/>
        <w:rPr/>
      </w:pPr>
      <w:r>
        <w:rPr/>
        <w:t xml:space="preserve">Wyroby stolarki budowlanej mogą być osadzone w wykonanych otworach, jeżeli budynek jest zabezpieczony przed opadami atmosferycznymi. Po wykonaniu robót tynkarskich ościeżnice drewniane powinny być ustawione na właściwym miejscu w otworze ściany i tymczasowo umocowane za pomocą podkładek i klinów drewnianych, wbijanych przy narożnikach między ościeżnicę i ościeże. Punkty zamocowania ościeżnic powinny znajdować się w odległości ok. 25cm od górnej i dolnej powierzchni otworu. Odległość pomiędzy tymi punktami nie może być większa niż 70cm. Zamocowanie ościeżnic wykonać za pomocą tulei kotwiącej do ściany. </w:t>
      </w:r>
    </w:p>
    <w:p>
      <w:pPr>
        <w:pStyle w:val="Normal"/>
        <w:ind w:hanging="10" w:start="1134" w:end="294"/>
        <w:rPr/>
      </w:pPr>
      <w:r>
        <w:rPr/>
        <w:t xml:space="preserve"> </w:t>
      </w:r>
    </w:p>
    <w:p>
      <w:pPr>
        <w:pStyle w:val="Normal"/>
        <w:numPr>
          <w:ilvl w:val="0"/>
          <w:numId w:val="8"/>
        </w:numPr>
        <w:ind w:hanging="201" w:start="201" w:end="294"/>
        <w:rPr/>
      </w:pPr>
      <w:r>
        <w:rPr/>
        <w:t xml:space="preserve">Kontrola jakości robót </w:t>
      </w:r>
    </w:p>
    <w:p>
      <w:pPr>
        <w:pStyle w:val="Normal"/>
        <w:numPr>
          <w:ilvl w:val="1"/>
          <w:numId w:val="8"/>
        </w:numPr>
        <w:ind w:hanging="425" w:start="709" w:end="294"/>
        <w:rPr/>
      </w:pPr>
      <w:r>
        <w:rPr/>
        <w:t xml:space="preserve">Ogólne zasady kontroli jakości  </w:t>
      </w:r>
    </w:p>
    <w:p>
      <w:pPr>
        <w:pStyle w:val="Normal"/>
        <w:tabs>
          <w:tab w:val="clear" w:pos="708"/>
          <w:tab w:val="center" w:pos="3436" w:leader="none"/>
        </w:tabs>
        <w:ind w:hanging="0" w:start="0"/>
        <w:jc w:val="start"/>
        <w:rPr/>
      </w:pPr>
      <w:r>
        <w:rPr/>
        <w:t xml:space="preserve"> </w:t>
      </w:r>
      <w:r>
        <w:rPr/>
        <w:tab/>
        <w:t xml:space="preserve">Ogólne zasady kontroli jakości podano w ST 1.  Wymagania ogólne </w:t>
      </w:r>
    </w:p>
    <w:p>
      <w:pPr>
        <w:pStyle w:val="Normal"/>
        <w:numPr>
          <w:ilvl w:val="1"/>
          <w:numId w:val="8"/>
        </w:numPr>
        <w:ind w:hanging="425" w:start="709" w:end="294"/>
        <w:rPr/>
      </w:pPr>
      <w:r>
        <w:rPr/>
        <w:t xml:space="preserve">Szczególne zasady kontroli jakości   </w:t>
      </w:r>
    </w:p>
    <w:p>
      <w:pPr>
        <w:pStyle w:val="Normal"/>
        <w:numPr>
          <w:ilvl w:val="2"/>
          <w:numId w:val="8"/>
        </w:numPr>
        <w:ind w:hanging="567" w:start="1134" w:end="294"/>
        <w:rPr/>
      </w:pPr>
      <w:r>
        <w:rPr/>
        <w:t xml:space="preserve">Tynki wewnętrzne </w:t>
      </w:r>
    </w:p>
    <w:p>
      <w:pPr>
        <w:pStyle w:val="Normal"/>
        <w:tabs>
          <w:tab w:val="clear" w:pos="708"/>
          <w:tab w:val="center" w:pos="2034" w:leader="none"/>
        </w:tabs>
        <w:ind w:hanging="0" w:start="1134"/>
        <w:jc w:val="start"/>
        <w:rPr/>
      </w:pPr>
      <w:r>
        <w:rPr/>
        <w:t xml:space="preserve"> </w:t>
      </w:r>
      <w:r>
        <w:rPr/>
        <w:tab/>
        <w:t xml:space="preserve">Kontrola jakości robót obejmuje: </w:t>
      </w:r>
    </w:p>
    <w:p>
      <w:pPr>
        <w:pStyle w:val="Normal"/>
        <w:ind w:hanging="10" w:start="1134" w:end="294"/>
        <w:rPr/>
      </w:pPr>
      <w:r>
        <w:rPr/>
        <w:t xml:space="preserve">sprawdzenie zgodności z Dokumentacją Projektową – porównanie wykonywanych bądź wykonanych robót z Dokumentacją Projektową i ST oraz stwierdzenie wzajemnej zgodności na podstawie oględzin i pomiarów,  sprawdzenie wykonywania wg zasad: </w:t>
      </w:r>
    </w:p>
    <w:p>
      <w:pPr>
        <w:pStyle w:val="Normal"/>
        <w:numPr>
          <w:ilvl w:val="3"/>
          <w:numId w:val="8"/>
        </w:numPr>
        <w:ind w:hanging="360" w:start="1800" w:end="294"/>
        <w:rPr/>
      </w:pPr>
      <w:r>
        <w:rPr/>
        <w:t xml:space="preserve">powierzchnie tynków powinny stanowić płaszczyzny pionowe lub poziome, </w:t>
      </w:r>
    </w:p>
    <w:p>
      <w:pPr>
        <w:pStyle w:val="Normal"/>
        <w:numPr>
          <w:ilvl w:val="3"/>
          <w:numId w:val="8"/>
        </w:numPr>
        <w:ind w:hanging="360" w:start="1800" w:end="294"/>
        <w:rPr/>
      </w:pPr>
      <w:r>
        <w:rPr/>
        <w:t xml:space="preserve">krawędzie przecięcia się płaszczyzn tynku powinny być liniami prostymi, </w:t>
      </w:r>
    </w:p>
    <w:p>
      <w:pPr>
        <w:pStyle w:val="Normal"/>
        <w:numPr>
          <w:ilvl w:val="3"/>
          <w:numId w:val="8"/>
        </w:numPr>
        <w:ind w:hanging="360" w:start="1800" w:end="294"/>
        <w:rPr/>
      </w:pPr>
      <w:r>
        <w:rPr/>
        <w:t xml:space="preserve">kąty dwuścienne utworzone przez te płaszczyzny muszą być kątami prostymi, odchylenia od pionu powierzchni płaskich i krawędzi tynków kategorii III nie powinny przekraczać 10mm na wysokości 1 kondygnacji oraz 30mm na całej wysokości budynku wg PN-70/B-10100, </w:t>
      </w:r>
    </w:p>
    <w:p>
      <w:pPr>
        <w:pStyle w:val="Normal"/>
        <w:numPr>
          <w:ilvl w:val="3"/>
          <w:numId w:val="8"/>
        </w:numPr>
        <w:ind w:hanging="360" w:start="1800" w:end="294"/>
        <w:rPr/>
      </w:pPr>
      <w:r>
        <w:rPr/>
        <w:t xml:space="preserve">na stykach z powierzchniami inaczej wykończonymi np. na stykach z ościeżnicami, podokiennikami tynki powinny być zabezpieczone przed pęknięciami przed odcięcie, </w:t>
      </w:r>
    </w:p>
    <w:p>
      <w:pPr>
        <w:pStyle w:val="Normal"/>
        <w:numPr>
          <w:ilvl w:val="3"/>
          <w:numId w:val="8"/>
        </w:numPr>
        <w:ind w:hanging="360" w:start="1800" w:end="294"/>
        <w:rPr/>
      </w:pPr>
      <w:r>
        <w:rPr/>
        <w:t xml:space="preserve">naroża zewnętrzne powinny być zabezpieczone listwami ochronnymi wpuszczonymi </w:t>
        <w:br/>
        <w:t xml:space="preserve">w tynk, </w:t>
      </w:r>
    </w:p>
    <w:p>
      <w:pPr>
        <w:pStyle w:val="Normal"/>
        <w:numPr>
          <w:ilvl w:val="3"/>
          <w:numId w:val="8"/>
        </w:numPr>
        <w:ind w:hanging="360" w:start="1800" w:end="294"/>
        <w:rPr/>
      </w:pPr>
      <w:r>
        <w:rPr/>
        <w:t xml:space="preserve">wygląd powierzchni tynków powinien być równy, jednolicie gładko zatarty, nie dopuszcza się występowania wyprysków i spęcznień w tynku spowodowanych obecnością w zaprawie niezlasowanych cząstek wapna itp., pęknięć na powierzchni tynków, wykwitów w postaci nalotów wykrystalizowanych na powierzchni tynków roztworów soli przenikających </w:t>
        <w:br/>
        <w:t xml:space="preserve">z podłoża, pleśni oraz zacieków mających postać trwałych śladów. </w:t>
      </w:r>
    </w:p>
    <w:p>
      <w:pPr>
        <w:pStyle w:val="Normal"/>
        <w:ind w:hanging="0" w:start="1800" w:end="294"/>
        <w:rPr/>
      </w:pPr>
      <w:r>
        <w:rPr/>
      </w:r>
    </w:p>
    <w:p>
      <w:pPr>
        <w:pStyle w:val="Normal"/>
        <w:numPr>
          <w:ilvl w:val="2"/>
          <w:numId w:val="8"/>
        </w:numPr>
        <w:ind w:hanging="567" w:start="1134" w:end="294"/>
        <w:rPr/>
      </w:pPr>
      <w:r>
        <w:rPr/>
        <w:t xml:space="preserve">Ścianki z płyt gipsowo – kartonowych  </w:t>
      </w:r>
    </w:p>
    <w:p>
      <w:pPr>
        <w:pStyle w:val="Normal"/>
        <w:ind w:hanging="10" w:start="1134" w:end="294"/>
        <w:rPr/>
      </w:pPr>
      <w:r>
        <w:rPr/>
        <w:t xml:space="preserve">Ścianki z płyt gipsowo – kartonowych powinny odpowiadać wymaganiom zawartym w normie PN72/B-10122. </w:t>
      </w:r>
    </w:p>
    <w:p>
      <w:pPr>
        <w:pStyle w:val="Normal"/>
        <w:numPr>
          <w:ilvl w:val="2"/>
          <w:numId w:val="8"/>
        </w:numPr>
        <w:ind w:hanging="567" w:start="1134" w:end="294"/>
        <w:rPr/>
      </w:pPr>
      <w:r>
        <w:rPr/>
        <w:t xml:space="preserve">Okładziny ścienne. </w:t>
      </w:r>
    </w:p>
    <w:p>
      <w:pPr>
        <w:pStyle w:val="Normal"/>
        <w:ind w:hanging="10" w:start="1134" w:end="294"/>
        <w:rPr/>
      </w:pPr>
      <w:r>
        <w:rPr/>
        <w:t xml:space="preserve">Okładziny z płytek ceramicznych powinny odpowiadać wymaganiom zawartym w normie PN-75/B10121. </w:t>
      </w:r>
    </w:p>
    <w:p>
      <w:pPr>
        <w:pStyle w:val="Normal"/>
        <w:numPr>
          <w:ilvl w:val="2"/>
          <w:numId w:val="8"/>
        </w:numPr>
        <w:ind w:hanging="567" w:start="1134" w:end="294"/>
        <w:rPr/>
      </w:pPr>
      <w:r>
        <w:rPr/>
        <w:t xml:space="preserve">Powłoki malarskie </w:t>
      </w:r>
    </w:p>
    <w:p>
      <w:pPr>
        <w:pStyle w:val="Normal"/>
        <w:ind w:hanging="10" w:start="1134" w:end="294"/>
        <w:rPr/>
      </w:pPr>
      <w:r>
        <w:rPr/>
        <w:t xml:space="preserve">Sprawdzenie prawidłowości przygotowania podłoża powinno być przeprowadzone w ramach odbiorów między operacyjnych. Gotowe powłoki powinny być badane nie wcześniej niż po upływie 7 dni od ukończenia robót. Wymagania techniczne, sposób prowadzenia badań wg PN-69/B-10280 </w:t>
      </w:r>
    </w:p>
    <w:p>
      <w:pPr>
        <w:pStyle w:val="Normal"/>
        <w:numPr>
          <w:ilvl w:val="2"/>
          <w:numId w:val="8"/>
        </w:numPr>
        <w:ind w:hanging="567" w:start="1134" w:end="294"/>
        <w:rPr/>
      </w:pPr>
      <w:r>
        <w:rPr/>
        <w:t xml:space="preserve">Posadzki </w:t>
      </w:r>
    </w:p>
    <w:p>
      <w:pPr>
        <w:pStyle w:val="Normal"/>
        <w:tabs>
          <w:tab w:val="clear" w:pos="708"/>
          <w:tab w:val="center" w:pos="4043" w:leader="none"/>
        </w:tabs>
        <w:ind w:hanging="0" w:start="1134"/>
        <w:jc w:val="start"/>
        <w:rPr/>
      </w:pPr>
      <w:r>
        <w:rPr/>
        <w:t xml:space="preserve">Posadzka powinna odpowiadać wymaganiom zawartym w normie PN-63 B-10145. </w:t>
      </w:r>
    </w:p>
    <w:p>
      <w:pPr>
        <w:pStyle w:val="Normal"/>
        <w:ind w:hanging="10" w:start="1134" w:end="294"/>
        <w:rPr/>
      </w:pPr>
      <w:r>
        <w:rPr/>
        <w:t xml:space="preserve">Posadzka powinna tworzyć jednorodną powierzchnię bez widocznych śladów połączeń i styków, barwa podłogi powinna być jednolita, nie dopuszcza się występowania uszkodzeń podłogi w postaci nierówności podłogi spowodowanych zabrudzeniem podkładu lub złym dociśnięciem wykładziny do kleju (pęcherze), wykładzina nie może być zabrudzona klejem, w miejscach spawów nie dopuszcza się uszkodzeń i nacięć wykładziny, wykładzina wywinięta na ściany powinna być równo przycięta i prawidłowo przyklejona do ściany bez odkształceń i zwichrowań. </w:t>
      </w:r>
    </w:p>
    <w:p>
      <w:pPr>
        <w:pStyle w:val="Normal"/>
        <w:numPr>
          <w:ilvl w:val="2"/>
          <w:numId w:val="8"/>
        </w:numPr>
        <w:ind w:hanging="567" w:start="1134" w:end="294"/>
        <w:rPr/>
      </w:pPr>
      <w:r>
        <w:rPr/>
        <w:t xml:space="preserve">Podkład pod posadzki powinien być: </w:t>
      </w:r>
    </w:p>
    <w:p>
      <w:pPr>
        <w:pStyle w:val="Normal"/>
        <w:numPr>
          <w:ilvl w:val="3"/>
          <w:numId w:val="8"/>
        </w:numPr>
        <w:ind w:hanging="360" w:start="1800" w:end="294"/>
        <w:rPr/>
      </w:pPr>
      <w:r>
        <w:rPr/>
        <w:t xml:space="preserve">dostatecznie wytrzymały i odporny na naciski,  </w:t>
      </w:r>
    </w:p>
    <w:p>
      <w:pPr>
        <w:pStyle w:val="Normal"/>
        <w:numPr>
          <w:ilvl w:val="3"/>
          <w:numId w:val="8"/>
        </w:numPr>
        <w:ind w:hanging="360" w:start="1800" w:end="294"/>
        <w:rPr/>
      </w:pPr>
      <w:r>
        <w:rPr/>
        <w:t xml:space="preserve">suchy, </w:t>
      </w:r>
    </w:p>
    <w:p>
      <w:pPr>
        <w:pStyle w:val="Normal"/>
        <w:numPr>
          <w:ilvl w:val="3"/>
          <w:numId w:val="8"/>
        </w:numPr>
        <w:ind w:hanging="360" w:start="1800" w:end="294"/>
        <w:rPr/>
      </w:pPr>
      <w:r>
        <w:rPr/>
        <w:t xml:space="preserve">równy, gładki, poziomy, bez rys i spękań,  </w:t>
      </w:r>
    </w:p>
    <w:p>
      <w:pPr>
        <w:pStyle w:val="Normal"/>
        <w:numPr>
          <w:ilvl w:val="3"/>
          <w:numId w:val="8"/>
        </w:numPr>
        <w:ind w:hanging="360" w:start="1800" w:end="294"/>
        <w:rPr/>
      </w:pPr>
      <w:r>
        <w:rPr/>
        <w:t xml:space="preserve">łata długości 2m przyłożona w dowolnym miejscu podkładu, w dwóch prostopadłych do siebie kierunkach, nie powinna wykazywać odchyleń większych niż 2mm, odchylenia od płaszczyzny poziomej nie powinny być większe niż 5mm na całej długości i szerokości podkładu w pomieszczeniu, </w:t>
      </w:r>
    </w:p>
    <w:p>
      <w:pPr>
        <w:pStyle w:val="Normal"/>
        <w:numPr>
          <w:ilvl w:val="3"/>
          <w:numId w:val="8"/>
        </w:numPr>
        <w:ind w:hanging="360" w:start="1800" w:end="294"/>
        <w:rPr/>
      </w:pPr>
      <w:r>
        <w:rPr/>
        <w:t xml:space="preserve">czysty i nie pylący. </w:t>
      </w:r>
    </w:p>
    <w:p>
      <w:pPr>
        <w:pStyle w:val="Normal"/>
        <w:ind w:hanging="0" w:start="1800" w:end="294"/>
        <w:rPr/>
      </w:pPr>
      <w:r>
        <w:rPr/>
      </w:r>
    </w:p>
    <w:p>
      <w:pPr>
        <w:pStyle w:val="Normal"/>
        <w:numPr>
          <w:ilvl w:val="2"/>
          <w:numId w:val="8"/>
        </w:numPr>
        <w:ind w:hanging="567" w:start="1134" w:end="294"/>
        <w:rPr/>
      </w:pPr>
      <w:r>
        <w:rPr/>
        <w:t xml:space="preserve">Stolarka drzwiowa  </w:t>
      </w:r>
    </w:p>
    <w:p>
      <w:pPr>
        <w:pStyle w:val="Normal"/>
        <w:ind w:hanging="10" w:start="1134" w:end="294"/>
        <w:rPr/>
      </w:pPr>
      <w:r>
        <w:rPr/>
        <w:t xml:space="preserve">Drzwi powinny spełniać wymagania jakościowe zawarte w pkt. 2.2.13. Ościeżnice drzwi powinny być ustawione do pionu i poziomu. Największe dopuszczalne odchylenie umocowanego elementu od pionu lub poziomu nie powinno przekraczać 2mm na 1m, jednak nie więcej niż 3mm na całą ościeżnicę. Ościeżnice nie mogą wykazywać obluzowań. Przy pasowaniu wbudowanych drzwi luzy nie powinny przekraczać 3mm. Po zamknięciu drzwi skrzydła nie powinny przy poruszaniu klamką wykazywać żadnych luzów. Otwarte skrzydła drzwiowe nie powinny się same zamykać. </w:t>
      </w:r>
    </w:p>
    <w:p>
      <w:pPr>
        <w:pStyle w:val="Normal"/>
        <w:numPr>
          <w:ilvl w:val="0"/>
          <w:numId w:val="8"/>
        </w:numPr>
        <w:ind w:hanging="201" w:start="201" w:end="294"/>
        <w:rPr/>
      </w:pPr>
      <w:r>
        <w:rPr/>
        <w:t xml:space="preserve">Odbiór robót </w:t>
      </w:r>
    </w:p>
    <w:p>
      <w:pPr>
        <w:pStyle w:val="Normal"/>
        <w:numPr>
          <w:ilvl w:val="1"/>
          <w:numId w:val="8"/>
        </w:numPr>
        <w:ind w:hanging="425" w:start="709" w:end="294"/>
        <w:rPr/>
      </w:pPr>
      <w:r>
        <w:rPr/>
        <w:t xml:space="preserve">Ogólne zasady odbioru. </w:t>
      </w:r>
    </w:p>
    <w:p>
      <w:pPr>
        <w:pStyle w:val="Normal"/>
        <w:tabs>
          <w:tab w:val="clear" w:pos="708"/>
          <w:tab w:val="center" w:pos="3334" w:leader="none"/>
        </w:tabs>
        <w:ind w:hanging="0" w:start="0"/>
        <w:jc w:val="start"/>
        <w:rPr/>
      </w:pPr>
      <w:r>
        <w:rPr/>
        <w:t xml:space="preserve"> </w:t>
      </w:r>
      <w:r>
        <w:rPr/>
        <w:tab/>
        <w:t>Ogólne zasady odbioru robót podano w ST 1. Wymagania ogólne.</w:t>
      </w:r>
    </w:p>
    <w:p>
      <w:pPr>
        <w:pStyle w:val="Normal"/>
        <w:tabs>
          <w:tab w:val="clear" w:pos="708"/>
          <w:tab w:val="center" w:pos="3334" w:leader="none"/>
        </w:tabs>
        <w:ind w:hanging="0" w:start="0"/>
        <w:jc w:val="start"/>
        <w:rPr/>
      </w:pPr>
      <w:r>
        <w:rPr/>
      </w:r>
    </w:p>
    <w:p>
      <w:pPr>
        <w:pStyle w:val="Normal"/>
        <w:numPr>
          <w:ilvl w:val="1"/>
          <w:numId w:val="8"/>
        </w:numPr>
        <w:ind w:hanging="425" w:start="709" w:end="294"/>
        <w:rPr/>
      </w:pPr>
      <w:r>
        <w:rPr/>
        <w:t xml:space="preserve">Szczególne zasady odbioru robót  </w:t>
      </w:r>
    </w:p>
    <w:p>
      <w:pPr>
        <w:pStyle w:val="Normal"/>
        <w:ind w:hanging="10" w:start="704" w:end="294"/>
        <w:rPr/>
      </w:pPr>
      <w:r>
        <w:rPr/>
        <w:t xml:space="preserve">Podstawą odbioru są: projekt techniczny z naniesionymi zmianami, protokoły badań materiałów, atesty </w:t>
        <w:br/>
        <w:t xml:space="preserve">i świadectwa. </w:t>
      </w:r>
    </w:p>
    <w:p>
      <w:pPr>
        <w:pStyle w:val="Normal"/>
        <w:numPr>
          <w:ilvl w:val="2"/>
          <w:numId w:val="8"/>
        </w:numPr>
        <w:ind w:hanging="567" w:start="1134" w:end="294"/>
        <w:rPr/>
      </w:pPr>
      <w:r>
        <w:rPr/>
        <w:t xml:space="preserve">Tynki wewnętrzne </w:t>
      </w:r>
    </w:p>
    <w:p>
      <w:pPr>
        <w:pStyle w:val="Normal"/>
        <w:ind w:hanging="10" w:start="1134" w:end="294"/>
        <w:rPr/>
      </w:pPr>
      <w:r>
        <w:rPr/>
        <w:t xml:space="preserve">Roboty tynkarskie powinny być wykonane zgodnie z projektem, ST, szczegółowymi warunkami technicznymi określonymi w normach oraz zgodnie z zasadami sztuki budowlanej. </w:t>
      </w:r>
    </w:p>
    <w:p>
      <w:pPr>
        <w:pStyle w:val="Normal"/>
        <w:ind w:hanging="10" w:start="1134" w:end="294"/>
        <w:rPr/>
      </w:pPr>
      <w:r>
        <w:rPr/>
        <w:t xml:space="preserve">Tynki powinny być badane wstępnie nie wcześniej niż po upływie 7 dni. Odbiór ostateczny powinien być dokonany nie później niż po upływie roku od ukończenia robót tynkowych. Do odbioru końcowego Wykonawca przedstawi: </w:t>
      </w:r>
    </w:p>
    <w:p>
      <w:pPr>
        <w:pStyle w:val="Normal"/>
        <w:numPr>
          <w:ilvl w:val="3"/>
          <w:numId w:val="8"/>
        </w:numPr>
        <w:ind w:hanging="360" w:start="1800" w:end="294"/>
        <w:rPr/>
      </w:pPr>
      <w:r>
        <w:rPr/>
        <w:t xml:space="preserve">protokoły z odbiorów częściowych i realizacji postanowień dotyczących usunięcia usterek, </w:t>
      </w:r>
    </w:p>
    <w:p>
      <w:pPr>
        <w:pStyle w:val="Normal"/>
        <w:numPr>
          <w:ilvl w:val="3"/>
          <w:numId w:val="8"/>
        </w:numPr>
        <w:ind w:hanging="360" w:start="1800" w:end="294"/>
        <w:rPr/>
      </w:pPr>
      <w:r>
        <w:rPr/>
        <w:t xml:space="preserve">świadectwa jakości wydane przez dostawców materiałów, </w:t>
      </w:r>
    </w:p>
    <w:p>
      <w:pPr>
        <w:pStyle w:val="Normal"/>
        <w:numPr>
          <w:ilvl w:val="3"/>
          <w:numId w:val="8"/>
        </w:numPr>
        <w:ind w:hanging="360" w:start="1800" w:end="294"/>
        <w:rPr/>
      </w:pPr>
      <w:r>
        <w:rPr/>
        <w:t xml:space="preserve">zgodność wykonania z Dokumentacją Projektową ora ewentualnymi zapisami w Dzienniku Budowy dotyczącymi zmian i odstępstw do Dokumentacji Projektowej. </w:t>
      </w:r>
    </w:p>
    <w:p>
      <w:pPr>
        <w:pStyle w:val="Normal"/>
        <w:numPr>
          <w:ilvl w:val="2"/>
          <w:numId w:val="8"/>
        </w:numPr>
        <w:ind w:hanging="567" w:start="1134" w:end="294"/>
        <w:rPr/>
      </w:pPr>
      <w:r>
        <w:rPr/>
        <w:t xml:space="preserve">Okładziny ścienne </w:t>
      </w:r>
    </w:p>
    <w:p>
      <w:pPr>
        <w:pStyle w:val="Normal"/>
        <w:ind w:hanging="10" w:start="1134" w:end="294"/>
        <w:rPr/>
      </w:pPr>
      <w:r>
        <w:rPr/>
        <w:t xml:space="preserve">Zasady ogólne - roboty okładzinowe powinny być wykonane zgodnie z projektem, ST, szczegółowymi warunkami technicznymi zawartymi w normach oraz zgodnie z zasadami sztuki budowlanej. </w:t>
      </w:r>
    </w:p>
    <w:p>
      <w:pPr>
        <w:pStyle w:val="Normal"/>
        <w:ind w:hanging="10" w:start="1134" w:end="294"/>
        <w:rPr/>
      </w:pPr>
      <w:r>
        <w:rPr/>
        <w:t xml:space="preserve">Okładziny z płytek ceramicznych – przy odbiorze okładzin z płytek ceramicznych należy szczególnie zwrócić uwagę na prawidłowość powierzchni, wygląd zewnętrzny, prawidłowość zamocowania materiałów do podłoża. Powierzchnia okładziny powinna być równa i tworzyć płaszczyznę. </w:t>
      </w:r>
    </w:p>
    <w:p>
      <w:pPr>
        <w:pStyle w:val="Normal"/>
        <w:ind w:hanging="10" w:start="1134" w:end="294"/>
        <w:rPr/>
      </w:pPr>
      <w:r>
        <w:rPr/>
        <w:t xml:space="preserve">Dopuszczalne odchylenia i badania podane są w normie PN-75/B-10121. </w:t>
      </w:r>
    </w:p>
    <w:p>
      <w:pPr>
        <w:pStyle w:val="Normal"/>
        <w:numPr>
          <w:ilvl w:val="2"/>
          <w:numId w:val="8"/>
        </w:numPr>
        <w:ind w:hanging="567" w:start="1134" w:end="294"/>
        <w:rPr/>
      </w:pPr>
      <w:r>
        <w:rPr/>
        <w:t xml:space="preserve">Powłoki malarskie. </w:t>
      </w:r>
    </w:p>
    <w:p>
      <w:pPr>
        <w:pStyle w:val="Normal"/>
        <w:ind w:hanging="10" w:start="1134" w:end="294"/>
        <w:rPr/>
      </w:pPr>
      <w:r>
        <w:rPr/>
        <w:t xml:space="preserve">Sprawdzenie prawidłowości przygotowania podłoża powinno być przeprowadzone w ramach odbiorów między operacyjnych. Gotowe powłoki powinny być badane nie wcześniej niż po upływie 7 dni od ukończenia robót. Wymagania techniczne, sposób prowadzenia badań wg PN-69/B-10280. </w:t>
      </w:r>
    </w:p>
    <w:p>
      <w:pPr>
        <w:pStyle w:val="Normal"/>
        <w:numPr>
          <w:ilvl w:val="2"/>
          <w:numId w:val="8"/>
        </w:numPr>
        <w:ind w:hanging="567" w:start="1134" w:end="294"/>
        <w:rPr/>
      </w:pPr>
      <w:r>
        <w:rPr/>
        <w:t xml:space="preserve">Ścianki z płyt gipsowo – kartonowych </w:t>
      </w:r>
    </w:p>
    <w:p>
      <w:pPr>
        <w:pStyle w:val="Normal"/>
        <w:ind w:hanging="10" w:start="1134" w:end="294"/>
        <w:rPr/>
      </w:pPr>
      <w:r>
        <w:rPr/>
        <w:t xml:space="preserve">Powinny być wykonane zgodnie z projektem i ST. Sprawdzeniu podlega: rodzaj zastosowanych materiałów, przygotowanie podłoża, prawidłowość zamontowania płyt i ich wykończenia na stykach, narożach i obrzeżach, wichrowatość powierzchni. </w:t>
      </w:r>
    </w:p>
    <w:p>
      <w:pPr>
        <w:pStyle w:val="Normal"/>
        <w:numPr>
          <w:ilvl w:val="2"/>
          <w:numId w:val="8"/>
        </w:numPr>
        <w:ind w:hanging="567" w:start="1134" w:end="294"/>
        <w:rPr/>
      </w:pPr>
      <w:r>
        <w:rPr/>
        <w:t xml:space="preserve">Posadzki  </w:t>
      </w:r>
    </w:p>
    <w:p>
      <w:pPr>
        <w:pStyle w:val="Normal"/>
        <w:spacing w:lineRule="auto" w:line="271" w:before="0" w:after="11"/>
        <w:ind w:hanging="10" w:start="1134" w:end="68"/>
        <w:jc w:val="start"/>
        <w:rPr/>
      </w:pPr>
      <w:r>
        <w:rPr/>
        <w:t xml:space="preserve">Roboty posadzkowe powinny być wykonane z projektem, ST, szczegółowymi warunkami technicznymi określonymi w obowiązujących normach oraz zgodnie z zasadami sztuki budowlanej. Podstawą odbioru robót powinny być następujące dokumenty: </w:t>
      </w:r>
    </w:p>
    <w:p>
      <w:pPr>
        <w:pStyle w:val="Normal"/>
        <w:numPr>
          <w:ilvl w:val="2"/>
          <w:numId w:val="8"/>
        </w:numPr>
        <w:ind w:hanging="567" w:start="1134" w:end="294"/>
        <w:rPr/>
      </w:pPr>
      <w:r>
        <w:rPr/>
        <w:t xml:space="preserve">Posadzki z płytek ceramicznych </w:t>
      </w:r>
    </w:p>
    <w:p>
      <w:pPr>
        <w:pStyle w:val="Normal"/>
        <w:tabs>
          <w:tab w:val="clear" w:pos="708"/>
          <w:tab w:val="center" w:pos="3672" w:leader="none"/>
        </w:tabs>
        <w:ind w:hanging="0" w:start="1134"/>
        <w:jc w:val="start"/>
        <w:rPr/>
      </w:pPr>
      <w:r>
        <w:rPr/>
        <w:t xml:space="preserve">Szczegółowe warunki wykonania i odbioru zawarte są w PN-63/B-10145. </w:t>
      </w:r>
    </w:p>
    <w:p>
      <w:pPr>
        <w:pStyle w:val="Normal"/>
        <w:numPr>
          <w:ilvl w:val="2"/>
          <w:numId w:val="8"/>
        </w:numPr>
        <w:ind w:hanging="567" w:start="1134" w:end="294"/>
        <w:rPr/>
      </w:pPr>
      <w:r>
        <w:rPr/>
        <w:t xml:space="preserve">Stolarka drzwiowa </w:t>
      </w:r>
    </w:p>
    <w:p>
      <w:pPr>
        <w:pStyle w:val="Normal"/>
        <w:ind w:hanging="10" w:start="1134" w:end="294"/>
        <w:rPr/>
      </w:pPr>
      <w:r>
        <w:rPr/>
        <w:t xml:space="preserve">Sprawdzenie wg punktu 6.2.13. sprawdzenie zgodności z dokumentacją, skontrolowanie ważności atestów i aprobat technicznych. </w:t>
      </w:r>
    </w:p>
    <w:p>
      <w:pPr>
        <w:pStyle w:val="Normal"/>
        <w:ind w:hanging="10" w:start="1134" w:end="294"/>
        <w:rPr/>
      </w:pPr>
      <w:r>
        <w:rPr/>
      </w:r>
    </w:p>
    <w:p>
      <w:pPr>
        <w:pStyle w:val="Normal"/>
        <w:numPr>
          <w:ilvl w:val="0"/>
          <w:numId w:val="8"/>
        </w:numPr>
        <w:ind w:hanging="201" w:start="201" w:end="294"/>
        <w:rPr/>
      </w:pPr>
      <w:r>
        <w:rPr/>
        <w:t xml:space="preserve">Podstawa płatności </w:t>
      </w:r>
    </w:p>
    <w:p>
      <w:pPr>
        <w:pStyle w:val="Normal"/>
        <w:ind w:hanging="10" w:start="142" w:end="20"/>
        <w:rPr/>
      </w:pPr>
      <w:r>
        <w:rPr/>
        <w:t xml:space="preserve"> </w:t>
      </w:r>
      <w:r>
        <w:rPr/>
        <w:t xml:space="preserve">Ogólne ustalenia dotyczące podstawy płatności podano w ST 1. Wymagania ogólne. </w:t>
      </w:r>
    </w:p>
    <w:p>
      <w:pPr>
        <w:pStyle w:val="Normal"/>
        <w:ind w:hanging="10" w:start="10" w:end="20"/>
        <w:rPr/>
      </w:pPr>
      <w:r>
        <w:rPr/>
      </w:r>
    </w:p>
    <w:p>
      <w:pPr>
        <w:pStyle w:val="Normal"/>
        <w:ind w:hanging="10" w:start="10" w:end="20"/>
        <w:rPr/>
      </w:pPr>
      <w:r>
        <w:rPr/>
        <w:t xml:space="preserve">9.  Przepisy związane </w:t>
      </w:r>
    </w:p>
    <w:tbl>
      <w:tblPr>
        <w:tblStyle w:val="TableGrid"/>
        <w:tblW w:w="9120" w:type="dxa"/>
        <w:jc w:val="start"/>
        <w:tblInd w:w="0" w:type="dxa"/>
        <w:tblLayout w:type="fixed"/>
        <w:tblCellMar>
          <w:top w:w="0" w:type="dxa"/>
          <w:start w:w="0" w:type="dxa"/>
          <w:bottom w:w="0" w:type="dxa"/>
          <w:end w:w="0" w:type="dxa"/>
        </w:tblCellMar>
        <w:tblLook w:firstRow="1" w:noVBand="1" w:lastRow="0" w:firstColumn="1" w:lastColumn="0" w:noHBand="0" w:val="04a0"/>
      </w:tblPr>
      <w:tblGrid>
        <w:gridCol w:w="2725"/>
        <w:gridCol w:w="6395"/>
      </w:tblGrid>
      <w:tr>
        <w:trPr>
          <w:trHeight w:val="184"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PN-90/B-14501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 </w:t>
            </w:r>
            <w:r>
              <w:rPr>
                <w:kern w:val="0"/>
                <w:szCs w:val="22"/>
                <w:lang w:val="pl-PL" w:eastAsia="pl-PL" w:bidi="ar-SA"/>
              </w:rPr>
              <w:t xml:space="preserve">Zaprawy budowlane zwykłe. </w:t>
            </w:r>
          </w:p>
        </w:tc>
      </w:tr>
      <w:tr>
        <w:trPr>
          <w:trHeight w:val="251"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PN-85/B-04500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Zaprawy budowlane. Badania cech fizycznych i wytrzymałościowych </w:t>
            </w:r>
          </w:p>
        </w:tc>
      </w:tr>
      <w:tr>
        <w:trPr>
          <w:trHeight w:val="230"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PN-79/B-06711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Kruszywa mineralne. Piaski do zapraw budowlanych </w:t>
            </w:r>
          </w:p>
        </w:tc>
      </w:tr>
      <w:tr>
        <w:trPr>
          <w:trHeight w:val="230"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PN-B-30020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Wapno budowlane </w:t>
            </w:r>
          </w:p>
        </w:tc>
      </w:tr>
      <w:tr>
        <w:trPr>
          <w:trHeight w:val="229"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PN-EN 459-2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Wapno budowlane – Metody badania </w:t>
            </w:r>
          </w:p>
        </w:tc>
      </w:tr>
      <w:tr>
        <w:trPr>
          <w:trHeight w:val="208"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PN-88/B-32250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Materiały budowlane. Woda do betonów i zapraw </w:t>
            </w:r>
          </w:p>
        </w:tc>
      </w:tr>
      <w:tr>
        <w:trPr>
          <w:trHeight w:val="251"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PN-78/B-01100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Kruszywa mineralne. Podział, nazwy, określenia </w:t>
            </w:r>
          </w:p>
        </w:tc>
      </w:tr>
      <w:tr>
        <w:trPr>
          <w:trHeight w:val="210"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PN-91/B-06714.15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Kruszywa mineralne. Badania. Oznaczanie składu ziarnowego </w:t>
            </w:r>
          </w:p>
        </w:tc>
      </w:tr>
      <w:tr>
        <w:trPr>
          <w:trHeight w:val="230"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PN-78/B-06714.13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 </w:t>
            </w:r>
            <w:r>
              <w:rPr>
                <w:kern w:val="0"/>
                <w:szCs w:val="22"/>
                <w:lang w:val="pl-PL" w:eastAsia="pl-PL" w:bidi="ar-SA"/>
              </w:rPr>
              <w:t xml:space="preserve">Kruszywa mineralne. Badania. Oznaczenia zawartości pyłów mineralnych. </w:t>
            </w:r>
          </w:p>
        </w:tc>
      </w:tr>
      <w:tr>
        <w:trPr>
          <w:trHeight w:val="479"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 </w:t>
            </w:r>
            <w:r>
              <w:rPr>
                <w:kern w:val="0"/>
                <w:szCs w:val="22"/>
                <w:lang w:val="pl-PL" w:eastAsia="pl-PL" w:bidi="ar-SA"/>
              </w:rPr>
              <w:t xml:space="preserve">PN-78/B-06714.12  </w:t>
            </w:r>
          </w:p>
        </w:tc>
        <w:tc>
          <w:tcPr>
            <w:tcW w:w="6395" w:type="dxa"/>
            <w:tcBorders/>
          </w:tcPr>
          <w:p>
            <w:pPr>
              <w:pStyle w:val="Normal"/>
              <w:widowControl/>
              <w:suppressAutoHyphens w:val="true"/>
              <w:spacing w:lineRule="auto" w:line="259" w:before="0" w:after="0"/>
              <w:ind w:hanging="0" w:start="284"/>
              <w:rPr>
                <w:kern w:val="0"/>
                <w:szCs w:val="22"/>
                <w:lang w:val="pl-PL" w:eastAsia="pl-PL" w:bidi="ar-SA"/>
              </w:rPr>
            </w:pPr>
            <w:r>
              <w:rPr>
                <w:kern w:val="0"/>
                <w:szCs w:val="22"/>
                <w:lang w:val="pl-PL" w:eastAsia="pl-PL" w:bidi="ar-SA"/>
              </w:rPr>
              <w:t xml:space="preserve"> </w:t>
            </w:r>
            <w:r>
              <w:rPr>
                <w:kern w:val="0"/>
                <w:szCs w:val="22"/>
                <w:lang w:val="pl-PL" w:eastAsia="pl-PL" w:bidi="ar-SA"/>
              </w:rPr>
              <w:t xml:space="preserve">Kruszywa mineralne. Badania. Oznaczenie zawartości zanieczyszczeń obcych. </w:t>
            </w:r>
          </w:p>
        </w:tc>
      </w:tr>
      <w:tr>
        <w:trPr>
          <w:trHeight w:val="230"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PN-68/B-10020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Roboty murowe z cegły. Wymagania i badania przy odbiorze </w:t>
            </w:r>
          </w:p>
        </w:tc>
      </w:tr>
      <w:tr>
        <w:trPr>
          <w:trHeight w:val="230"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PN-70/B-10100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 </w:t>
            </w:r>
            <w:r>
              <w:rPr>
                <w:kern w:val="0"/>
                <w:szCs w:val="22"/>
                <w:lang w:val="pl-PL" w:eastAsia="pl-PL" w:bidi="ar-SA"/>
              </w:rPr>
              <w:t xml:space="preserve">Roboty tynkowe. Tynki zwykłe. Wymagania i badania przy odbiorze </w:t>
            </w:r>
          </w:p>
        </w:tc>
      </w:tr>
      <w:tr>
        <w:trPr>
          <w:trHeight w:val="230"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PN-72/B-10122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 </w:t>
            </w:r>
            <w:r>
              <w:rPr>
                <w:kern w:val="0"/>
                <w:szCs w:val="22"/>
                <w:lang w:val="pl-PL" w:eastAsia="pl-PL" w:bidi="ar-SA"/>
              </w:rPr>
              <w:t xml:space="preserve">Roboty okładzinowe. Suche tynki. Wymagania i badania przy odbiorze </w:t>
            </w:r>
          </w:p>
        </w:tc>
      </w:tr>
      <w:tr>
        <w:trPr>
          <w:trHeight w:val="230"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PN-B-79405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Płyty gipsowo-kartonowe </w:t>
            </w:r>
          </w:p>
        </w:tc>
      </w:tr>
      <w:tr>
        <w:trPr>
          <w:trHeight w:val="208"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PN-92/B-01302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Gips. Anhydryt i wyroby gipsowe. Terminologia </w:t>
            </w:r>
          </w:p>
        </w:tc>
      </w:tr>
      <w:tr>
        <w:trPr>
          <w:trHeight w:val="250"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PN-86/B-04360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Spoiwa gipsowe. Metody badań. Oznaczenie cech fizycznych </w:t>
            </w:r>
          </w:p>
        </w:tc>
      </w:tr>
      <w:tr>
        <w:trPr>
          <w:trHeight w:val="230"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PN-B-30042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Spoiwa gipsowe. Gips szpachlowy, gips tynkarski i klej gipsowy </w:t>
            </w:r>
          </w:p>
        </w:tc>
      </w:tr>
      <w:tr>
        <w:trPr>
          <w:trHeight w:val="210"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PN-B-23116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Filce, maty i płyty z wełny mineralnej </w:t>
            </w:r>
          </w:p>
        </w:tc>
      </w:tr>
      <w:tr>
        <w:trPr>
          <w:trHeight w:val="230"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PN-ISO 13006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 </w:t>
            </w:r>
            <w:r>
              <w:rPr>
                <w:kern w:val="0"/>
                <w:szCs w:val="22"/>
                <w:lang w:val="pl-PL" w:eastAsia="pl-PL" w:bidi="ar-SA"/>
              </w:rPr>
              <w:t xml:space="preserve">Płytki i płyty ceramiczne. Definicje, klasyfikacja, właściwości i znakowanie </w:t>
            </w:r>
          </w:p>
        </w:tc>
      </w:tr>
      <w:tr>
        <w:trPr>
          <w:trHeight w:val="460"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PN-EN 159  </w:t>
            </w:r>
          </w:p>
        </w:tc>
        <w:tc>
          <w:tcPr>
            <w:tcW w:w="6395" w:type="dxa"/>
            <w:tcBorders/>
          </w:tcPr>
          <w:p>
            <w:pPr>
              <w:pStyle w:val="Normal"/>
              <w:widowControl/>
              <w:suppressAutoHyphens w:val="true"/>
              <w:spacing w:lineRule="auto" w:line="259" w:before="0" w:after="0"/>
              <w:ind w:hanging="0" w:start="284"/>
              <w:rPr>
                <w:kern w:val="0"/>
                <w:szCs w:val="22"/>
                <w:lang w:val="pl-PL" w:eastAsia="pl-PL" w:bidi="ar-SA"/>
              </w:rPr>
            </w:pPr>
            <w:r>
              <w:rPr>
                <w:kern w:val="0"/>
                <w:szCs w:val="22"/>
                <w:lang w:val="pl-PL" w:eastAsia="pl-PL" w:bidi="ar-SA"/>
              </w:rPr>
              <w:t xml:space="preserve"> </w:t>
            </w:r>
            <w:r>
              <w:rPr>
                <w:kern w:val="0"/>
                <w:szCs w:val="22"/>
                <w:lang w:val="pl-PL" w:eastAsia="pl-PL" w:bidi="ar-SA"/>
              </w:rPr>
              <w:t xml:space="preserve">Płytki i płyty ceramiczne prasowane na sucho o nasiąkliwości wodnej E&gt;10% Grupa BIII </w:t>
            </w:r>
          </w:p>
        </w:tc>
      </w:tr>
      <w:tr>
        <w:trPr>
          <w:trHeight w:val="460"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PN-EN ISO 10545-3 </w:t>
            </w:r>
          </w:p>
        </w:tc>
        <w:tc>
          <w:tcPr>
            <w:tcW w:w="6395" w:type="dxa"/>
            <w:tcBorders/>
          </w:tcPr>
          <w:p>
            <w:pPr>
              <w:pStyle w:val="Normal"/>
              <w:widowControl/>
              <w:suppressAutoHyphens w:val="true"/>
              <w:spacing w:lineRule="auto" w:line="259" w:before="0" w:after="0"/>
              <w:ind w:hanging="0" w:start="284"/>
              <w:rPr>
                <w:kern w:val="0"/>
                <w:szCs w:val="22"/>
                <w:lang w:val="pl-PL" w:eastAsia="pl-PL" w:bidi="ar-SA"/>
              </w:rPr>
            </w:pPr>
            <w:r>
              <w:rPr>
                <w:kern w:val="0"/>
                <w:szCs w:val="22"/>
                <w:lang w:val="pl-PL" w:eastAsia="pl-PL" w:bidi="ar-SA"/>
              </w:rPr>
              <w:t xml:space="preserve">Płytki i płyty ceramiczne. Oznaczanie nasiąkliwości wodnej, porowatości otwartej, gęstości względnej pozornej oraz gęstości całkowitej, </w:t>
            </w:r>
          </w:p>
        </w:tc>
      </w:tr>
      <w:tr>
        <w:trPr>
          <w:trHeight w:val="461"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PN-EN 87 </w:t>
            </w:r>
          </w:p>
        </w:tc>
        <w:tc>
          <w:tcPr>
            <w:tcW w:w="6395" w:type="dxa"/>
            <w:tcBorders/>
          </w:tcPr>
          <w:p>
            <w:pPr>
              <w:pStyle w:val="Normal"/>
              <w:widowControl/>
              <w:suppressAutoHyphens w:val="true"/>
              <w:spacing w:lineRule="auto" w:line="259" w:before="0" w:after="0"/>
              <w:ind w:hanging="0" w:start="284"/>
              <w:rPr>
                <w:kern w:val="0"/>
                <w:szCs w:val="22"/>
                <w:lang w:val="pl-PL" w:eastAsia="pl-PL" w:bidi="ar-SA"/>
              </w:rPr>
            </w:pPr>
            <w:r>
              <w:rPr>
                <w:kern w:val="0"/>
                <w:szCs w:val="22"/>
                <w:lang w:val="pl-PL" w:eastAsia="pl-PL" w:bidi="ar-SA"/>
              </w:rPr>
              <w:t xml:space="preserve"> </w:t>
            </w:r>
            <w:r>
              <w:rPr>
                <w:kern w:val="0"/>
                <w:szCs w:val="22"/>
                <w:lang w:val="pl-PL" w:eastAsia="pl-PL" w:bidi="ar-SA"/>
              </w:rPr>
              <w:t xml:space="preserve">Płytki i płyty ceramiczne ścienne i podłogowe – Definicje, klasyfikacja, właściwości i znakowanie </w:t>
            </w:r>
          </w:p>
        </w:tc>
      </w:tr>
      <w:tr>
        <w:trPr>
          <w:trHeight w:val="229"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PN-EN 100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 </w:t>
            </w:r>
            <w:r>
              <w:rPr>
                <w:kern w:val="0"/>
                <w:szCs w:val="22"/>
                <w:lang w:val="pl-PL" w:eastAsia="pl-PL" w:bidi="ar-SA"/>
              </w:rPr>
              <w:t xml:space="preserve">Płytki i płyty ceramiczne – Oznaczanie wytrzymałości na zginanie, </w:t>
            </w:r>
          </w:p>
        </w:tc>
      </w:tr>
      <w:tr>
        <w:trPr>
          <w:trHeight w:val="229"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PN-EN 101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 </w:t>
            </w:r>
            <w:r>
              <w:rPr>
                <w:kern w:val="0"/>
                <w:szCs w:val="22"/>
                <w:lang w:val="pl-PL" w:eastAsia="pl-PL" w:bidi="ar-SA"/>
              </w:rPr>
              <w:t xml:space="preserve">Płytki i płyty ceramiczne – Oznaczenie twardości wg skali Mohsa </w:t>
            </w:r>
          </w:p>
        </w:tc>
      </w:tr>
      <w:tr>
        <w:trPr>
          <w:trHeight w:val="230"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PN-EN ISO 10545-14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Płytki i płyty ceramiczne – Oznaczenie odporności na plamienie </w:t>
            </w:r>
          </w:p>
        </w:tc>
      </w:tr>
      <w:tr>
        <w:trPr>
          <w:trHeight w:val="461"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PN-EN ISO 10545-9 </w:t>
            </w:r>
          </w:p>
        </w:tc>
        <w:tc>
          <w:tcPr>
            <w:tcW w:w="6395" w:type="dxa"/>
            <w:tcBorders/>
          </w:tcPr>
          <w:p>
            <w:pPr>
              <w:pStyle w:val="Normal"/>
              <w:widowControl/>
              <w:suppressAutoHyphens w:val="true"/>
              <w:spacing w:lineRule="auto" w:line="259" w:before="0" w:after="0"/>
              <w:ind w:firstLine="53" w:start="284"/>
              <w:jc w:val="start"/>
              <w:rPr>
                <w:kern w:val="0"/>
                <w:szCs w:val="22"/>
                <w:lang w:val="pl-PL" w:eastAsia="pl-PL" w:bidi="ar-SA"/>
              </w:rPr>
            </w:pPr>
            <w:r>
              <w:rPr>
                <w:kern w:val="0"/>
                <w:szCs w:val="22"/>
                <w:lang w:val="pl-PL" w:eastAsia="pl-PL" w:bidi="ar-SA"/>
              </w:rPr>
              <w:t xml:space="preserve">Płytki i płyty ceramiczne – Oznaczenie odporności na nagłe zmiany temperatury </w:t>
            </w:r>
          </w:p>
        </w:tc>
      </w:tr>
      <w:tr>
        <w:trPr>
          <w:trHeight w:val="460"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PN-EN ISO 10545-11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Płytki i płyty ceramiczne – Oznaczenie odporności szkliwa na pęknięcia włoskowate, </w:t>
            </w:r>
          </w:p>
        </w:tc>
      </w:tr>
      <w:tr>
        <w:trPr>
          <w:trHeight w:val="460"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PN-75/B-10121  </w:t>
            </w:r>
          </w:p>
        </w:tc>
        <w:tc>
          <w:tcPr>
            <w:tcW w:w="6395" w:type="dxa"/>
            <w:tcBorders/>
          </w:tcPr>
          <w:p>
            <w:pPr>
              <w:pStyle w:val="Normal"/>
              <w:widowControl/>
              <w:suppressAutoHyphens w:val="true"/>
              <w:spacing w:lineRule="auto" w:line="259" w:before="0" w:after="0"/>
              <w:ind w:hanging="0" w:start="284"/>
              <w:rPr>
                <w:kern w:val="0"/>
                <w:szCs w:val="22"/>
                <w:lang w:val="pl-PL" w:eastAsia="pl-PL" w:bidi="ar-SA"/>
              </w:rPr>
            </w:pPr>
            <w:r>
              <w:rPr>
                <w:kern w:val="0"/>
                <w:szCs w:val="22"/>
                <w:lang w:val="pl-PL" w:eastAsia="pl-PL" w:bidi="ar-SA"/>
              </w:rPr>
              <w:t xml:space="preserve"> </w:t>
            </w:r>
            <w:r>
              <w:rPr>
                <w:kern w:val="0"/>
                <w:szCs w:val="22"/>
                <w:lang w:val="pl-PL" w:eastAsia="pl-PL" w:bidi="ar-SA"/>
              </w:rPr>
              <w:t xml:space="preserve">Okładziny z płytek ściennych ceramicznych szkliwionych. Wymagania i badania przy odbiorze </w:t>
            </w:r>
          </w:p>
        </w:tc>
      </w:tr>
      <w:tr>
        <w:trPr>
          <w:trHeight w:val="461"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PN-EN 1193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 </w:t>
            </w:r>
            <w:r>
              <w:rPr>
                <w:kern w:val="0"/>
                <w:szCs w:val="22"/>
                <w:lang w:val="pl-PL" w:eastAsia="pl-PL" w:bidi="ar-SA"/>
              </w:rPr>
              <w:t xml:space="preserve">Kleje do płytek. Oznaczanie wytrzymałości na rozciąganie dla klejów cementowych </w:t>
            </w:r>
          </w:p>
        </w:tc>
      </w:tr>
      <w:tr>
        <w:trPr>
          <w:trHeight w:val="230"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PN-EN 1308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Kleje do płytek. Oznaczanie poślizgu </w:t>
            </w:r>
          </w:p>
        </w:tc>
      </w:tr>
      <w:tr>
        <w:trPr>
          <w:trHeight w:val="250"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PN-EN 1347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Kleje do płytek. Oznaczanie zwilŜalności </w:t>
            </w:r>
          </w:p>
        </w:tc>
      </w:tr>
      <w:tr>
        <w:trPr>
          <w:trHeight w:val="460"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PN-EN 1770  </w:t>
            </w:r>
          </w:p>
        </w:tc>
        <w:tc>
          <w:tcPr>
            <w:tcW w:w="6395" w:type="dxa"/>
            <w:tcBorders/>
          </w:tcPr>
          <w:p>
            <w:pPr>
              <w:pStyle w:val="Normal"/>
              <w:widowControl/>
              <w:suppressAutoHyphens w:val="true"/>
              <w:spacing w:lineRule="auto" w:line="259" w:before="0" w:after="0"/>
              <w:ind w:hanging="0" w:start="284"/>
              <w:rPr>
                <w:kern w:val="0"/>
                <w:szCs w:val="22"/>
                <w:lang w:val="pl-PL" w:eastAsia="pl-PL" w:bidi="ar-SA"/>
              </w:rPr>
            </w:pPr>
            <w:r>
              <w:rPr>
                <w:kern w:val="0"/>
                <w:szCs w:val="22"/>
                <w:lang w:val="pl-PL" w:eastAsia="pl-PL" w:bidi="ar-SA"/>
              </w:rPr>
              <w:t xml:space="preserve"> </w:t>
            </w:r>
            <w:r>
              <w:rPr>
                <w:kern w:val="0"/>
                <w:szCs w:val="22"/>
                <w:lang w:val="pl-PL" w:eastAsia="pl-PL" w:bidi="ar-SA"/>
              </w:rPr>
              <w:t xml:space="preserve">Kleje do płytek. Oznaczanie odkształcenia poprzecznego dla klejów cementowych i zapraw do spoinowania </w:t>
            </w:r>
          </w:p>
        </w:tc>
      </w:tr>
      <w:tr>
        <w:trPr>
          <w:trHeight w:val="230"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PN-EN 1322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Kleje do płytek. Definicje i terminologia. </w:t>
            </w:r>
          </w:p>
        </w:tc>
      </w:tr>
      <w:tr>
        <w:trPr>
          <w:trHeight w:val="210"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PN-EN 12004  </w:t>
            </w:r>
          </w:p>
        </w:tc>
        <w:tc>
          <w:tcPr>
            <w:tcW w:w="639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Kleje do płytek. Definicje i wymagania techniczne </w:t>
            </w:r>
          </w:p>
        </w:tc>
      </w:tr>
      <w:tr>
        <w:trPr>
          <w:trHeight w:val="456" w:hRule="atLeast"/>
        </w:trPr>
        <w:tc>
          <w:tcPr>
            <w:tcW w:w="2725"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PN-69/B-10280  </w:t>
            </w:r>
          </w:p>
        </w:tc>
        <w:tc>
          <w:tcPr>
            <w:tcW w:w="6395" w:type="dxa"/>
            <w:tcBorders/>
          </w:tcPr>
          <w:p>
            <w:pPr>
              <w:pStyle w:val="Normal"/>
              <w:widowControl/>
              <w:suppressAutoHyphens w:val="true"/>
              <w:spacing w:lineRule="auto" w:line="259" w:before="0" w:after="0"/>
              <w:ind w:hanging="0" w:start="284"/>
              <w:rPr>
                <w:kern w:val="0"/>
                <w:szCs w:val="22"/>
                <w:lang w:val="pl-PL" w:eastAsia="pl-PL" w:bidi="ar-SA"/>
              </w:rPr>
            </w:pPr>
            <w:r>
              <w:rPr>
                <w:kern w:val="0"/>
                <w:szCs w:val="22"/>
                <w:lang w:val="pl-PL" w:eastAsia="pl-PL" w:bidi="ar-SA"/>
              </w:rPr>
              <w:t xml:space="preserve"> </w:t>
            </w:r>
            <w:r>
              <w:rPr>
                <w:kern w:val="0"/>
                <w:szCs w:val="22"/>
                <w:lang w:val="pl-PL" w:eastAsia="pl-PL" w:bidi="ar-SA"/>
              </w:rPr>
              <w:t xml:space="preserve">Roboty malarskie budowlane farbami wodnymi i wodorozcieńczalnymi farbami emulsyjnymi (norma archiwalna) </w:t>
            </w:r>
          </w:p>
        </w:tc>
      </w:tr>
    </w:tbl>
    <w:p>
      <w:pPr>
        <w:pStyle w:val="Normal"/>
        <w:spacing w:lineRule="auto" w:line="259" w:before="0" w:after="0"/>
        <w:ind w:hanging="0" w:start="284" w:end="256"/>
        <w:jc w:val="start"/>
        <w:rPr/>
      </w:pPr>
      <w:r>
        <w:rPr/>
      </w:r>
    </w:p>
    <w:tbl>
      <w:tblPr>
        <w:tblStyle w:val="TableGrid"/>
        <w:tblW w:w="9120" w:type="dxa"/>
        <w:jc w:val="start"/>
        <w:tblInd w:w="0" w:type="dxa"/>
        <w:tblLayout w:type="fixed"/>
        <w:tblCellMar>
          <w:top w:w="24" w:type="dxa"/>
          <w:start w:w="0" w:type="dxa"/>
          <w:bottom w:w="0" w:type="dxa"/>
          <w:end w:w="0" w:type="dxa"/>
        </w:tblCellMar>
        <w:tblLook w:firstRow="1" w:noVBand="1" w:lastRow="0" w:firstColumn="1" w:lastColumn="0" w:noHBand="0" w:val="04a0"/>
      </w:tblPr>
      <w:tblGrid>
        <w:gridCol w:w="2830"/>
        <w:gridCol w:w="6290"/>
      </w:tblGrid>
      <w:tr>
        <w:trPr>
          <w:trHeight w:val="226"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PN-C-81914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 </w:t>
            </w:r>
            <w:r>
              <w:rPr>
                <w:kern w:val="0"/>
                <w:szCs w:val="22"/>
                <w:lang w:val="pl-PL" w:eastAsia="pl-PL" w:bidi="ar-SA"/>
              </w:rPr>
              <w:t xml:space="preserve">Farba dyspersyjna do malowania wnętrz budynków (norma archiwalna) </w:t>
            </w:r>
          </w:p>
        </w:tc>
      </w:tr>
      <w:tr>
        <w:trPr>
          <w:trHeight w:val="250"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PN-C-81914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Farby dyspersyjne stosowane wewnątrz </w:t>
            </w:r>
          </w:p>
        </w:tc>
      </w:tr>
      <w:tr>
        <w:trPr>
          <w:trHeight w:val="208"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PN-75/D-96000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Tarcica iglasta ogólnego przeznaczania  </w:t>
            </w:r>
          </w:p>
        </w:tc>
      </w:tr>
      <w:tr>
        <w:trPr>
          <w:trHeight w:val="230"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BN-83/5028-13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 </w:t>
            </w:r>
            <w:r>
              <w:rPr>
                <w:kern w:val="0"/>
                <w:szCs w:val="22"/>
                <w:lang w:val="pl-PL" w:eastAsia="pl-PL" w:bidi="ar-SA"/>
              </w:rPr>
              <w:t xml:space="preserve">Gwoździe budowlane ogólnego przeznaczenia </w:t>
            </w:r>
          </w:p>
        </w:tc>
      </w:tr>
      <w:tr>
        <w:trPr>
          <w:trHeight w:val="461"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PN-EN 176  </w:t>
            </w:r>
          </w:p>
        </w:tc>
        <w:tc>
          <w:tcPr>
            <w:tcW w:w="6290" w:type="dxa"/>
            <w:tcBorders/>
          </w:tcPr>
          <w:p>
            <w:pPr>
              <w:pStyle w:val="Normal"/>
              <w:widowControl/>
              <w:suppressAutoHyphens w:val="true"/>
              <w:spacing w:lineRule="auto" w:line="259" w:before="0" w:after="0"/>
              <w:ind w:hanging="0" w:start="284"/>
              <w:rPr>
                <w:kern w:val="0"/>
                <w:szCs w:val="22"/>
                <w:lang w:val="pl-PL" w:eastAsia="pl-PL" w:bidi="ar-SA"/>
              </w:rPr>
            </w:pPr>
            <w:r>
              <w:rPr>
                <w:kern w:val="0"/>
                <w:szCs w:val="22"/>
                <w:lang w:val="pl-PL" w:eastAsia="pl-PL" w:bidi="ar-SA"/>
              </w:rPr>
              <w:t xml:space="preserve"> </w:t>
            </w:r>
            <w:r>
              <w:rPr>
                <w:kern w:val="0"/>
                <w:szCs w:val="22"/>
                <w:lang w:val="pl-PL" w:eastAsia="pl-PL" w:bidi="ar-SA"/>
              </w:rPr>
              <w:t xml:space="preserve">Płyty i płyty ceramiczne, prasowane na sucho o małej nasiąkliwości wodnej E&lt;3%, Grupa BI </w:t>
            </w:r>
          </w:p>
        </w:tc>
      </w:tr>
      <w:tr>
        <w:trPr>
          <w:trHeight w:val="230"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DIN 51130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Skuteczność antypoślizgowa – grupa klasyfikacyjna, </w:t>
            </w:r>
          </w:p>
        </w:tc>
      </w:tr>
      <w:tr>
        <w:trPr>
          <w:trHeight w:val="479"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P-EN 177  </w:t>
            </w:r>
          </w:p>
        </w:tc>
        <w:tc>
          <w:tcPr>
            <w:tcW w:w="6290" w:type="dxa"/>
            <w:tcBorders/>
          </w:tcPr>
          <w:p>
            <w:pPr>
              <w:pStyle w:val="Normal"/>
              <w:widowControl/>
              <w:suppressAutoHyphens w:val="true"/>
              <w:spacing w:lineRule="auto" w:line="259" w:before="0" w:after="0"/>
              <w:ind w:hanging="0" w:start="284"/>
              <w:rPr>
                <w:kern w:val="0"/>
                <w:szCs w:val="22"/>
                <w:lang w:val="pl-PL" w:eastAsia="pl-PL" w:bidi="ar-SA"/>
              </w:rPr>
            </w:pPr>
            <w:r>
              <w:rPr>
                <w:kern w:val="0"/>
                <w:szCs w:val="22"/>
                <w:lang w:val="pl-PL" w:eastAsia="pl-PL" w:bidi="ar-SA"/>
              </w:rPr>
              <w:t xml:space="preserve"> </w:t>
            </w:r>
            <w:r>
              <w:rPr>
                <w:kern w:val="0"/>
                <w:szCs w:val="22"/>
                <w:lang w:val="pl-PL" w:eastAsia="pl-PL" w:bidi="ar-SA"/>
              </w:rPr>
              <w:t xml:space="preserve">Płyty i płyty ceramiczne, prasowane na sucho o nasiąkliwości wodnej 3%&lt;E&lt;6%, Grupa BIIA  </w:t>
            </w:r>
          </w:p>
        </w:tc>
      </w:tr>
      <w:tr>
        <w:trPr>
          <w:trHeight w:val="461"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PN-63/B-10145  </w:t>
            </w:r>
          </w:p>
        </w:tc>
        <w:tc>
          <w:tcPr>
            <w:tcW w:w="6290" w:type="dxa"/>
            <w:tcBorders/>
          </w:tcPr>
          <w:p>
            <w:pPr>
              <w:pStyle w:val="Normal"/>
              <w:widowControl/>
              <w:suppressAutoHyphens w:val="true"/>
              <w:spacing w:lineRule="auto" w:line="259" w:before="0" w:after="0"/>
              <w:ind w:hanging="0" w:start="284"/>
              <w:rPr>
                <w:kern w:val="0"/>
                <w:szCs w:val="22"/>
                <w:lang w:val="pl-PL" w:eastAsia="pl-PL" w:bidi="ar-SA"/>
              </w:rPr>
            </w:pPr>
            <w:r>
              <w:rPr>
                <w:kern w:val="0"/>
                <w:szCs w:val="22"/>
                <w:lang w:val="pl-PL" w:eastAsia="pl-PL" w:bidi="ar-SA"/>
              </w:rPr>
              <w:t xml:space="preserve"> </w:t>
            </w:r>
            <w:r>
              <w:rPr>
                <w:kern w:val="0"/>
                <w:szCs w:val="22"/>
                <w:lang w:val="pl-PL" w:eastAsia="pl-PL" w:bidi="ar-SA"/>
              </w:rPr>
              <w:t xml:space="preserve">Posadzki z płytek kamionkowych (terakotowych), klinkierowych i lastrykowych. Wymagania i badania przy odbiorze </w:t>
            </w:r>
          </w:p>
        </w:tc>
      </w:tr>
      <w:tr>
        <w:trPr>
          <w:trHeight w:val="210"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PN-EN 13318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 </w:t>
            </w:r>
            <w:r>
              <w:rPr>
                <w:kern w:val="0"/>
                <w:szCs w:val="22"/>
                <w:lang w:val="pl-PL" w:eastAsia="pl-PL" w:bidi="ar-SA"/>
              </w:rPr>
              <w:t xml:space="preserve">Podkłady podłogowe oraz materiały do ich wykonania. Terminologia. </w:t>
            </w:r>
          </w:p>
        </w:tc>
      </w:tr>
      <w:tr>
        <w:trPr>
          <w:trHeight w:val="480"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PN-B-02854 </w:t>
            </w:r>
          </w:p>
        </w:tc>
        <w:tc>
          <w:tcPr>
            <w:tcW w:w="6290" w:type="dxa"/>
            <w:tcBorders/>
          </w:tcPr>
          <w:p>
            <w:pPr>
              <w:pStyle w:val="Normal"/>
              <w:widowControl/>
              <w:suppressAutoHyphens w:val="true"/>
              <w:spacing w:lineRule="auto" w:line="259" w:before="0" w:after="0"/>
              <w:ind w:hanging="0" w:start="284"/>
              <w:rPr>
                <w:kern w:val="0"/>
                <w:szCs w:val="22"/>
                <w:lang w:val="pl-PL" w:eastAsia="pl-PL" w:bidi="ar-SA"/>
              </w:rPr>
            </w:pPr>
            <w:r>
              <w:rPr>
                <w:kern w:val="0"/>
                <w:szCs w:val="22"/>
                <w:lang w:val="pl-PL" w:eastAsia="pl-PL" w:bidi="ar-SA"/>
              </w:rPr>
              <w:t xml:space="preserve"> </w:t>
            </w:r>
            <w:r>
              <w:rPr>
                <w:kern w:val="0"/>
                <w:szCs w:val="22"/>
                <w:lang w:val="pl-PL" w:eastAsia="pl-PL" w:bidi="ar-SA"/>
              </w:rPr>
              <w:t xml:space="preserve">Ochrona przeciwpoŜarowa budynków. Metoda badania rozprzestrzeniania ognia po posadzkach przemysłowych </w:t>
            </w:r>
          </w:p>
        </w:tc>
      </w:tr>
      <w:tr>
        <w:trPr>
          <w:trHeight w:val="208"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PN-88/B-06250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Beton zwykły </w:t>
            </w:r>
          </w:p>
        </w:tc>
      </w:tr>
      <w:tr>
        <w:trPr>
          <w:trHeight w:val="482"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PN-EN 933-4 </w:t>
            </w:r>
          </w:p>
        </w:tc>
        <w:tc>
          <w:tcPr>
            <w:tcW w:w="6290" w:type="dxa"/>
            <w:tcBorders/>
          </w:tcPr>
          <w:p>
            <w:pPr>
              <w:pStyle w:val="Normal"/>
              <w:widowControl/>
              <w:suppressAutoHyphens w:val="true"/>
              <w:spacing w:lineRule="auto" w:line="259" w:before="0" w:after="0"/>
              <w:ind w:hanging="0" w:start="284"/>
              <w:rPr>
                <w:kern w:val="0"/>
                <w:szCs w:val="22"/>
                <w:lang w:val="pl-PL" w:eastAsia="pl-PL" w:bidi="ar-SA"/>
              </w:rPr>
            </w:pPr>
            <w:r>
              <w:rPr>
                <w:kern w:val="0"/>
                <w:szCs w:val="22"/>
                <w:lang w:val="pl-PL" w:eastAsia="pl-PL" w:bidi="ar-SA"/>
              </w:rPr>
              <w:t xml:space="preserve"> </w:t>
            </w:r>
            <w:r>
              <w:rPr>
                <w:kern w:val="0"/>
                <w:szCs w:val="22"/>
                <w:lang w:val="pl-PL" w:eastAsia="pl-PL" w:bidi="ar-SA"/>
              </w:rPr>
              <w:t xml:space="preserve">Badanie geometrycznych właściwości kruszyw – część 4: Oznaczenie kształtu ziaren – Wskaźnik kształtu </w:t>
            </w:r>
          </w:p>
        </w:tc>
      </w:tr>
      <w:tr>
        <w:trPr>
          <w:trHeight w:val="230"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PN-86/B-06712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Kruszywa mineralne do betonu </w:t>
            </w:r>
          </w:p>
        </w:tc>
      </w:tr>
      <w:tr>
        <w:trPr>
          <w:trHeight w:val="439"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PN-82/B-01801  </w:t>
            </w:r>
          </w:p>
        </w:tc>
        <w:tc>
          <w:tcPr>
            <w:tcW w:w="6290" w:type="dxa"/>
            <w:tcBorders/>
          </w:tcPr>
          <w:p>
            <w:pPr>
              <w:pStyle w:val="Normal"/>
              <w:widowControl/>
              <w:suppressAutoHyphens w:val="true"/>
              <w:spacing w:lineRule="auto" w:line="259" w:before="0" w:after="0"/>
              <w:ind w:hanging="0" w:start="284"/>
              <w:rPr>
                <w:kern w:val="0"/>
                <w:szCs w:val="22"/>
                <w:lang w:val="pl-PL" w:eastAsia="pl-PL" w:bidi="ar-SA"/>
              </w:rPr>
            </w:pPr>
            <w:r>
              <w:rPr>
                <w:kern w:val="0"/>
                <w:szCs w:val="22"/>
                <w:lang w:val="pl-PL" w:eastAsia="pl-PL" w:bidi="ar-SA"/>
              </w:rPr>
              <w:t xml:space="preserve"> </w:t>
            </w:r>
            <w:r>
              <w:rPr>
                <w:kern w:val="0"/>
                <w:szCs w:val="22"/>
                <w:lang w:val="pl-PL" w:eastAsia="pl-PL" w:bidi="ar-SA"/>
              </w:rPr>
              <w:t xml:space="preserve">Antykorozyjne zabezpieczenia w budownictwie Konstrukcje betonowe i Ŝelbetowe. Podstawowe zasady projektowania </w:t>
            </w:r>
          </w:p>
        </w:tc>
      </w:tr>
      <w:tr>
        <w:trPr>
          <w:trHeight w:val="460"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PN-EN 1097-6 </w:t>
            </w:r>
          </w:p>
        </w:tc>
        <w:tc>
          <w:tcPr>
            <w:tcW w:w="6290" w:type="dxa"/>
            <w:tcBorders/>
          </w:tcPr>
          <w:p>
            <w:pPr>
              <w:pStyle w:val="Normal"/>
              <w:widowControl/>
              <w:suppressAutoHyphens w:val="true"/>
              <w:spacing w:lineRule="auto" w:line="259" w:before="0" w:after="19"/>
              <w:ind w:hanging="0" w:start="284"/>
              <w:rPr>
                <w:kern w:val="0"/>
                <w:szCs w:val="22"/>
                <w:lang w:val="pl-PL" w:eastAsia="pl-PL" w:bidi="ar-SA"/>
              </w:rPr>
            </w:pPr>
            <w:r>
              <w:rPr>
                <w:kern w:val="0"/>
                <w:szCs w:val="22"/>
                <w:lang w:val="pl-PL" w:eastAsia="pl-PL" w:bidi="ar-SA"/>
              </w:rPr>
              <w:t xml:space="preserve"> </w:t>
            </w:r>
            <w:r>
              <w:rPr>
                <w:kern w:val="0"/>
                <w:szCs w:val="22"/>
                <w:lang w:val="pl-PL" w:eastAsia="pl-PL" w:bidi="ar-SA"/>
              </w:rPr>
              <w:t xml:space="preserve">Badania mechanicznych i fizycznych właściwości kruszyw – Część 6: </w:t>
            </w:r>
          </w:p>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Oznaczanie gęstości ziaren i nasiąkliwości </w:t>
            </w:r>
          </w:p>
        </w:tc>
      </w:tr>
      <w:tr>
        <w:trPr>
          <w:trHeight w:val="461"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PN-EN 197-1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 </w:t>
            </w:r>
            <w:r>
              <w:rPr>
                <w:kern w:val="0"/>
                <w:szCs w:val="22"/>
                <w:lang w:val="pl-PL" w:eastAsia="pl-PL" w:bidi="ar-SA"/>
              </w:rPr>
              <w:t xml:space="preserve">Cement Część 1: Skład, wymagania i kryteria zgodności dotyczące cementów powszechnego uŜytku, </w:t>
            </w:r>
          </w:p>
        </w:tc>
      </w:tr>
      <w:tr>
        <w:trPr>
          <w:trHeight w:val="229"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P-EN 197-2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Cement Część 2: Ocena zgodności </w:t>
            </w:r>
          </w:p>
        </w:tc>
      </w:tr>
      <w:tr>
        <w:trPr>
          <w:trHeight w:val="250"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PN-63/B-06251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Roboty betonowe i Ŝelbetowe. Wymagania techniczne </w:t>
            </w:r>
          </w:p>
        </w:tc>
      </w:tr>
      <w:tr>
        <w:trPr>
          <w:trHeight w:val="440"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PN-62/B-10144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 </w:t>
            </w:r>
            <w:r>
              <w:rPr>
                <w:kern w:val="0"/>
                <w:szCs w:val="22"/>
                <w:lang w:val="pl-PL" w:eastAsia="pl-PL" w:bidi="ar-SA"/>
              </w:rPr>
              <w:t xml:space="preserve">Posadzki z betonu i zaprawy cementowej. Wymagania i badania przy odbiorze </w:t>
            </w:r>
          </w:p>
        </w:tc>
      </w:tr>
      <w:tr>
        <w:trPr>
          <w:trHeight w:val="230"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BN-77/B-6365-04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Folia szeroka z polietylenu o małej gęstości </w:t>
            </w:r>
          </w:p>
        </w:tc>
      </w:tr>
      <w:tr>
        <w:trPr>
          <w:trHeight w:val="710"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PN-B-02151  </w:t>
            </w:r>
          </w:p>
        </w:tc>
        <w:tc>
          <w:tcPr>
            <w:tcW w:w="6290" w:type="dxa"/>
            <w:tcBorders/>
          </w:tcPr>
          <w:p>
            <w:pPr>
              <w:pStyle w:val="Normal"/>
              <w:widowControl/>
              <w:suppressAutoHyphens w:val="true"/>
              <w:spacing w:lineRule="auto" w:line="259" w:before="0" w:after="0"/>
              <w:ind w:hanging="0" w:start="284" w:end="50"/>
              <w:rPr>
                <w:kern w:val="0"/>
                <w:szCs w:val="22"/>
                <w:lang w:val="pl-PL" w:eastAsia="pl-PL" w:bidi="ar-SA"/>
              </w:rPr>
            </w:pPr>
            <w:r>
              <w:rPr>
                <w:kern w:val="0"/>
                <w:szCs w:val="22"/>
                <w:lang w:val="pl-PL" w:eastAsia="pl-PL" w:bidi="ar-SA"/>
              </w:rPr>
              <w:t xml:space="preserve"> </w:t>
            </w:r>
            <w:r>
              <w:rPr>
                <w:kern w:val="0"/>
                <w:szCs w:val="22"/>
                <w:lang w:val="pl-PL" w:eastAsia="pl-PL" w:bidi="ar-SA"/>
              </w:rPr>
              <w:t xml:space="preserve">Akustyka budowlana. Ochrona przed hałasem w budynkach – izolacyjność akustyczna przegród w budynkach oraz izolacyjność akustyczna elementów budowlanych </w:t>
            </w:r>
          </w:p>
        </w:tc>
      </w:tr>
      <w:tr>
        <w:trPr>
          <w:trHeight w:val="230"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PN-B-20130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Wyroby do izolacji cieplnej w budownictwie </w:t>
            </w:r>
          </w:p>
        </w:tc>
      </w:tr>
      <w:tr>
        <w:trPr>
          <w:trHeight w:val="230"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PN-B-06050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Geotechnika. Roboty ziemne. Wymagania ogólne </w:t>
            </w:r>
          </w:p>
        </w:tc>
      </w:tr>
      <w:tr>
        <w:trPr>
          <w:trHeight w:val="461"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PN-69/B-10285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 </w:t>
            </w:r>
            <w:r>
              <w:rPr>
                <w:kern w:val="0"/>
                <w:szCs w:val="22"/>
                <w:lang w:val="pl-PL" w:eastAsia="pl-PL" w:bidi="ar-SA"/>
              </w:rPr>
              <w:t xml:space="preserve">Roboty malarskie budowlane farbami, lakierami i emaliami na spoiwach bezwodnych </w:t>
            </w:r>
          </w:p>
        </w:tc>
      </w:tr>
      <w:tr>
        <w:trPr>
          <w:trHeight w:val="208"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BN-82/6118-32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Pokost lniany </w:t>
            </w:r>
          </w:p>
        </w:tc>
      </w:tr>
      <w:tr>
        <w:trPr>
          <w:trHeight w:val="711"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PN-C-81607 </w:t>
            </w:r>
          </w:p>
        </w:tc>
        <w:tc>
          <w:tcPr>
            <w:tcW w:w="6290" w:type="dxa"/>
            <w:tcBorders/>
          </w:tcPr>
          <w:p>
            <w:pPr>
              <w:pStyle w:val="Normal"/>
              <w:widowControl/>
              <w:suppressAutoHyphens w:val="true"/>
              <w:spacing w:lineRule="auto" w:line="259" w:before="0" w:after="0"/>
              <w:ind w:hanging="0" w:start="284" w:end="51"/>
              <w:rPr>
                <w:kern w:val="0"/>
                <w:szCs w:val="22"/>
                <w:lang w:val="pl-PL" w:eastAsia="pl-PL" w:bidi="ar-SA"/>
              </w:rPr>
            </w:pPr>
            <w:r>
              <w:rPr>
                <w:kern w:val="0"/>
                <w:szCs w:val="22"/>
                <w:lang w:val="pl-PL" w:eastAsia="pl-PL" w:bidi="ar-SA"/>
              </w:rPr>
              <w:t xml:space="preserve"> </w:t>
            </w:r>
            <w:r>
              <w:rPr>
                <w:kern w:val="0"/>
                <w:szCs w:val="22"/>
                <w:lang w:val="pl-PL" w:eastAsia="pl-PL" w:bidi="ar-SA"/>
              </w:rPr>
              <w:t xml:space="preserve">Emalie olejno-Ŝywiczne, ftalowe, ftalowe modyfikowane i ftalowe kopolimeryzowane styrenowe (Rodzaj II: emalie do podłóg ftalowe modyfikowane) </w:t>
            </w:r>
          </w:p>
        </w:tc>
      </w:tr>
      <w:tr>
        <w:trPr>
          <w:trHeight w:val="460"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PN-B-062200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 </w:t>
            </w:r>
            <w:r>
              <w:rPr>
                <w:kern w:val="0"/>
                <w:szCs w:val="22"/>
                <w:lang w:val="pl-PL" w:eastAsia="pl-PL" w:bidi="ar-SA"/>
              </w:rPr>
              <w:t xml:space="preserve">Konstrukcje stalowe – Warunki wykonania i odbioru. Wymagania podstawowe  </w:t>
            </w:r>
          </w:p>
        </w:tc>
      </w:tr>
      <w:tr>
        <w:trPr>
          <w:trHeight w:val="460"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PN-B-03207  </w:t>
            </w:r>
          </w:p>
        </w:tc>
        <w:tc>
          <w:tcPr>
            <w:tcW w:w="6290" w:type="dxa"/>
            <w:tcBorders/>
          </w:tcPr>
          <w:p>
            <w:pPr>
              <w:pStyle w:val="Normal"/>
              <w:widowControl/>
              <w:suppressAutoHyphens w:val="true"/>
              <w:spacing w:lineRule="auto" w:line="259" w:before="0" w:after="0"/>
              <w:ind w:hanging="0" w:start="284"/>
              <w:rPr>
                <w:kern w:val="0"/>
                <w:szCs w:val="22"/>
                <w:lang w:val="pl-PL" w:eastAsia="pl-PL" w:bidi="ar-SA"/>
              </w:rPr>
            </w:pPr>
            <w:r>
              <w:rPr>
                <w:kern w:val="0"/>
                <w:szCs w:val="22"/>
                <w:lang w:val="pl-PL" w:eastAsia="pl-PL" w:bidi="ar-SA"/>
              </w:rPr>
              <w:t xml:space="preserve"> </w:t>
            </w:r>
            <w:r>
              <w:rPr>
                <w:kern w:val="0"/>
                <w:szCs w:val="22"/>
                <w:lang w:val="pl-PL" w:eastAsia="pl-PL" w:bidi="ar-SA"/>
              </w:rPr>
              <w:t xml:space="preserve">Konstrukcje stalowe – Konstrukcje z kształtowników i blach profilowanych na zimno </w:t>
            </w:r>
          </w:p>
        </w:tc>
      </w:tr>
      <w:tr>
        <w:trPr>
          <w:trHeight w:val="461"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PN-B-11212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 </w:t>
            </w:r>
            <w:r>
              <w:rPr>
                <w:kern w:val="0"/>
                <w:szCs w:val="22"/>
                <w:lang w:val="pl-PL" w:eastAsia="pl-PL" w:bidi="ar-SA"/>
              </w:rPr>
              <w:t xml:space="preserve">Materiały </w:t>
              <w:tab/>
              <w:t xml:space="preserve">kamienne. </w:t>
              <w:tab/>
              <w:t xml:space="preserve">Elementy </w:t>
              <w:tab/>
              <w:t xml:space="preserve">kamienne; </w:t>
              <w:tab/>
              <w:t xml:space="preserve">płyty </w:t>
              <w:tab/>
              <w:t xml:space="preserve">z </w:t>
              <w:tab/>
              <w:t xml:space="preserve">konglomeratów kamiennych </w:t>
            </w:r>
          </w:p>
        </w:tc>
      </w:tr>
      <w:tr>
        <w:trPr>
          <w:trHeight w:val="439"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PN-72/B-06190  </w:t>
            </w:r>
          </w:p>
        </w:tc>
        <w:tc>
          <w:tcPr>
            <w:tcW w:w="6290" w:type="dxa"/>
            <w:tcBorders/>
          </w:tcPr>
          <w:p>
            <w:pPr>
              <w:pStyle w:val="Normal"/>
              <w:widowControl/>
              <w:suppressAutoHyphens w:val="true"/>
              <w:spacing w:lineRule="auto" w:line="259" w:before="0" w:after="0"/>
              <w:ind w:hanging="0" w:start="284"/>
              <w:rPr>
                <w:kern w:val="0"/>
                <w:szCs w:val="22"/>
                <w:lang w:val="pl-PL" w:eastAsia="pl-PL" w:bidi="ar-SA"/>
              </w:rPr>
            </w:pPr>
            <w:r>
              <w:rPr>
                <w:kern w:val="0"/>
                <w:szCs w:val="22"/>
                <w:lang w:val="pl-PL" w:eastAsia="pl-PL" w:bidi="ar-SA"/>
              </w:rPr>
              <w:t xml:space="preserve"> </w:t>
            </w:r>
            <w:r>
              <w:rPr>
                <w:kern w:val="0"/>
                <w:szCs w:val="22"/>
                <w:lang w:val="pl-PL" w:eastAsia="pl-PL" w:bidi="ar-SA"/>
              </w:rPr>
              <w:t xml:space="preserve">Roboty kamieniarskie. Okładzina kamienna. Wymagania w zakresie wykonywania i badania przy odbiorze </w:t>
            </w:r>
          </w:p>
        </w:tc>
      </w:tr>
      <w:tr>
        <w:trPr>
          <w:trHeight w:val="250"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PN-EN 1670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 </w:t>
            </w:r>
            <w:r>
              <w:rPr>
                <w:kern w:val="0"/>
                <w:szCs w:val="22"/>
                <w:lang w:val="pl-PL" w:eastAsia="pl-PL" w:bidi="ar-SA"/>
              </w:rPr>
              <w:t xml:space="preserve">Okucia budowlane. Odporność na korozję. Wymagania i metody badań </w:t>
            </w:r>
          </w:p>
        </w:tc>
      </w:tr>
      <w:tr>
        <w:trPr>
          <w:trHeight w:val="230"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PN-88/B-10085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Stolarka budowlana. Okna i drzwi. Wymagania i badania. </w:t>
            </w:r>
          </w:p>
        </w:tc>
      </w:tr>
      <w:tr>
        <w:trPr>
          <w:trHeight w:val="210"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PN-B-05000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Okna i drzwi. Pakowanie, przechowywanie, transport </w:t>
            </w:r>
          </w:p>
        </w:tc>
      </w:tr>
      <w:tr>
        <w:trPr>
          <w:trHeight w:val="251"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PN-B-94411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Okucia budowlane. Wymiary części chwytowych klamek </w:t>
            </w:r>
          </w:p>
        </w:tc>
      </w:tr>
      <w:tr>
        <w:trPr>
          <w:trHeight w:val="460"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PN-88/B-94410  </w:t>
            </w:r>
          </w:p>
        </w:tc>
        <w:tc>
          <w:tcPr>
            <w:tcW w:w="6290" w:type="dxa"/>
            <w:tcBorders/>
          </w:tcPr>
          <w:p>
            <w:pPr>
              <w:pStyle w:val="Normal"/>
              <w:widowControl/>
              <w:suppressAutoHyphens w:val="true"/>
              <w:spacing w:lineRule="auto" w:line="259" w:before="0" w:after="0"/>
              <w:ind w:hanging="0" w:start="284"/>
              <w:rPr>
                <w:kern w:val="0"/>
                <w:szCs w:val="22"/>
                <w:lang w:val="pl-PL" w:eastAsia="pl-PL" w:bidi="ar-SA"/>
              </w:rPr>
            </w:pPr>
            <w:r>
              <w:rPr>
                <w:kern w:val="0"/>
                <w:szCs w:val="22"/>
                <w:lang w:val="pl-PL" w:eastAsia="pl-PL" w:bidi="ar-SA"/>
              </w:rPr>
              <w:t xml:space="preserve"> </w:t>
            </w:r>
            <w:r>
              <w:rPr>
                <w:kern w:val="0"/>
                <w:szCs w:val="22"/>
                <w:lang w:val="pl-PL" w:eastAsia="pl-PL" w:bidi="ar-SA"/>
              </w:rPr>
              <w:t xml:space="preserve">Okucia budowlane. Klamki, gałki, uchwyty i tarcze drzwiowe. Ogólne wymagania i badania </w:t>
            </w:r>
          </w:p>
        </w:tc>
      </w:tr>
      <w:tr>
        <w:trPr>
          <w:trHeight w:val="208"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BN-79/7150-01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Stolarka budowlana. Pakowanie, przechowywanie, transport </w:t>
            </w:r>
          </w:p>
        </w:tc>
      </w:tr>
      <w:tr>
        <w:trPr>
          <w:trHeight w:val="251"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PN-64/B-94071 </w:t>
            </w:r>
          </w:p>
        </w:tc>
        <w:tc>
          <w:tcPr>
            <w:tcW w:w="629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Okucia budowlane. Samozamykacze spręŜynowe </w:t>
            </w:r>
          </w:p>
        </w:tc>
      </w:tr>
      <w:tr>
        <w:trPr>
          <w:trHeight w:val="461"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PN-B-12030 </w:t>
            </w:r>
          </w:p>
        </w:tc>
        <w:tc>
          <w:tcPr>
            <w:tcW w:w="6290" w:type="dxa"/>
            <w:tcBorders/>
          </w:tcPr>
          <w:p>
            <w:pPr>
              <w:pStyle w:val="Normal"/>
              <w:widowControl/>
              <w:suppressAutoHyphens w:val="true"/>
              <w:spacing w:lineRule="auto" w:line="259" w:before="0" w:after="0"/>
              <w:ind w:firstLine="53" w:start="284"/>
              <w:jc w:val="start"/>
              <w:rPr>
                <w:kern w:val="0"/>
                <w:szCs w:val="22"/>
                <w:lang w:val="pl-PL" w:eastAsia="pl-PL" w:bidi="ar-SA"/>
              </w:rPr>
            </w:pPr>
            <w:r>
              <w:rPr>
                <w:kern w:val="0"/>
                <w:szCs w:val="22"/>
                <w:lang w:val="pl-PL" w:eastAsia="pl-PL" w:bidi="ar-SA"/>
              </w:rPr>
              <w:t xml:space="preserve">Wyroby budowlane ceramiczne i silikatowe. Pakowanie, przechowywanie, transport </w:t>
            </w:r>
          </w:p>
        </w:tc>
      </w:tr>
      <w:tr>
        <w:trPr>
          <w:trHeight w:val="435" w:hRule="atLeast"/>
        </w:trPr>
        <w:tc>
          <w:tcPr>
            <w:tcW w:w="2830" w:type="dxa"/>
            <w:tcBorders/>
          </w:tcPr>
          <w:p>
            <w:pPr>
              <w:pStyle w:val="Normal"/>
              <w:widowControl/>
              <w:suppressAutoHyphens w:val="true"/>
              <w:spacing w:lineRule="auto" w:line="259" w:before="0" w:after="0"/>
              <w:ind w:hanging="0" w:start="284"/>
              <w:jc w:val="start"/>
              <w:rPr>
                <w:kern w:val="0"/>
                <w:szCs w:val="22"/>
                <w:lang w:val="pl-PL" w:eastAsia="pl-PL" w:bidi="ar-SA"/>
              </w:rPr>
            </w:pPr>
            <w:r>
              <w:rPr>
                <w:kern w:val="0"/>
                <w:szCs w:val="22"/>
                <w:lang w:val="pl-PL" w:eastAsia="pl-PL" w:bidi="ar-SA"/>
              </w:rPr>
              <w:t xml:space="preserve">PN-B-12030 </w:t>
            </w:r>
          </w:p>
        </w:tc>
        <w:tc>
          <w:tcPr>
            <w:tcW w:w="6290" w:type="dxa"/>
            <w:tcBorders/>
          </w:tcPr>
          <w:p>
            <w:pPr>
              <w:pStyle w:val="Normal"/>
              <w:widowControl/>
              <w:suppressAutoHyphens w:val="true"/>
              <w:spacing w:lineRule="auto" w:line="259" w:before="0" w:after="0"/>
              <w:ind w:hanging="0" w:start="284"/>
              <w:rPr>
                <w:kern w:val="0"/>
                <w:szCs w:val="22"/>
                <w:lang w:val="pl-PL" w:eastAsia="pl-PL" w:bidi="ar-SA"/>
              </w:rPr>
            </w:pPr>
            <w:r>
              <w:rPr>
                <w:kern w:val="0"/>
                <w:szCs w:val="22"/>
                <w:lang w:val="pl-PL" w:eastAsia="pl-PL" w:bidi="ar-SA"/>
              </w:rPr>
              <w:t xml:space="preserve"> </w:t>
            </w:r>
            <w:r>
              <w:rPr>
                <w:kern w:val="0"/>
                <w:szCs w:val="22"/>
                <w:lang w:val="pl-PL" w:eastAsia="pl-PL" w:bidi="ar-SA"/>
              </w:rPr>
              <w:t xml:space="preserve">Wyroby budowlane ceramiczne i silikatowe. Pakowanie, przechowywanie, transport (Zmiana Az1) </w:t>
            </w:r>
          </w:p>
        </w:tc>
      </w:tr>
    </w:tbl>
    <w:p>
      <w:pPr>
        <w:pStyle w:val="Normal"/>
        <w:ind w:hanging="10" w:start="284" w:end="294"/>
        <w:rPr/>
      </w:pPr>
      <w:r>
        <w:rPr/>
      </w:r>
    </w:p>
    <w:p>
      <w:pPr>
        <w:pStyle w:val="Normal"/>
        <w:spacing w:before="0" w:after="13"/>
        <w:ind w:hanging="10" w:start="284" w:end="294"/>
        <w:rPr/>
      </w:pPr>
      <w:r>
        <w:rPr/>
        <w:t>Informator – poradnik Nida – Gips Zastosowanie płyt gipsowo-kartonowych w budownictwie Wydanie VI Kraków 1996r. „Montaż</w:t>
      </w:r>
      <w:bookmarkStart w:id="0" w:name="_GoBack"/>
      <w:bookmarkEnd w:id="0"/>
      <w:r>
        <w:rPr/>
        <w:t xml:space="preserve"> systemów Rigips” Warszawa 1999 wydanie piąte poprawione. Instrukcja ITB 282/88 Wykonywanie betonu w warunkach zimowych, Zeszyty techniczne firmy Schluter Systems zeszyt 8.1. Katalog Rozwiązań Podłóg dla Budownictwa Mieszkaniowego i Ogólnego – COBP </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8" w:right="1106" w:gutter="0" w:header="708" w:top="1421" w:footer="718" w:bottom="1588"/>
      <w:pgNumType w:fmt="decimal"/>
      <w:formProt w:val="false"/>
      <w:titlePg/>
      <w:textDirection w:val="lrTb"/>
      <w:docGrid w:type="default" w:linePitch="272"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01"/>
    <w:family w:val="roman"/>
    <w:pitch w:val="default"/>
  </w:font>
  <w:font w:name="Times New Roman">
    <w:charset w:val="01"/>
    <w:family w:val="roman"/>
    <w:pitch w:val="default"/>
  </w:font>
  <w:font w:name="Liberation Sans">
    <w:altName w:val="Arial"/>
    <w:charset w:val="ee" w:characterSet="windows-1250"/>
    <w:family w:val="swiss"/>
    <w:pitch w:val="variable"/>
  </w:font>
  <w:font w:name="Liberation Sans">
    <w:altName w:val="Arial"/>
    <w:charset w:val="01"/>
    <w:family w:val="swiss"/>
    <w:pitch w:val="default"/>
  </w:font>
  <w:font w:name="Segoe UI Symbol">
    <w:charset w:val="01"/>
    <w:family w:val="swiss"/>
    <w:pitch w:val="default"/>
  </w:font>
  <w:font w:name="Arial">
    <w:charset w:val="01"/>
    <w:family w:val="swiss"/>
    <w:pitch w:val="default"/>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before="0" w:after="32"/>
      <w:ind w:hanging="0" w:start="0" w:end="2179"/>
      <w:jc w:val="end"/>
      <w:rPr/>
    </w:pPr>
    <w:r>
      <w:rPr>
        <w:rFonts w:eastAsia="Arial" w:cs="Arial" w:ascii="Arial" w:hAnsi="Arial"/>
        <w:b/>
        <w:sz w:val="16"/>
      </w:rPr>
      <w:t xml:space="preserve">S T 3 .  R O B O T Y W Y K O </w:t>
    </w:r>
    <w:r>
      <w:rPr>
        <w:rFonts w:eastAsia="Arial" w:cs="Arial" w:ascii="Arial" w:hAnsi="Arial"/>
        <w:sz w:val="16"/>
      </w:rPr>
      <w:t xml:space="preserve">Ń </w:t>
    </w:r>
    <w:r>
      <w:rPr>
        <w:rFonts w:eastAsia="Arial" w:cs="Arial" w:ascii="Arial" w:hAnsi="Arial"/>
        <w:b/>
        <w:sz w:val="16"/>
      </w:rPr>
      <w:t xml:space="preserve">C Z E N I O W E W E W N </w:t>
    </w:r>
    <w:r>
      <w:rPr>
        <w:rFonts w:eastAsia="Arial" w:cs="Arial" w:ascii="Arial" w:hAnsi="Arial"/>
        <w:sz w:val="16"/>
      </w:rPr>
      <w:t xml:space="preserve">Ę </w:t>
    </w:r>
    <w:r>
      <w:rPr>
        <w:rFonts w:eastAsia="Arial" w:cs="Arial" w:ascii="Arial" w:hAnsi="Arial"/>
        <w:b/>
        <w:sz w:val="16"/>
      </w:rPr>
      <w:t xml:space="preserve">T R Z N E  </w:t>
    </w:r>
  </w:p>
  <w:p>
    <w:pPr>
      <w:pStyle w:val="Normal"/>
      <w:spacing w:lineRule="auto" w:line="290" w:before="0" w:after="0"/>
      <w:ind w:hanging="725" w:start="3996" w:end="3348"/>
      <w:rPr/>
    </w:pPr>
    <w:r>
      <w:rPr>
        <w:rFonts w:eastAsia="Arial" w:cs="Arial" w:ascii="Arial" w:hAnsi="Arial"/>
        <w:b/>
        <w:sz w:val="16"/>
      </w:rPr>
      <w:t>Prace remontowe w PP Pozna</w:t>
    </w:r>
    <w:r>
      <w:rPr>
        <w:rFonts w:eastAsia="Arial" w:cs="Arial" w:ascii="Arial" w:hAnsi="Arial"/>
        <w:sz w:val="16"/>
      </w:rPr>
      <w:t xml:space="preserve">ń s t r o n a </w:t>
    </w:r>
    <w:r>
      <w:rPr/>
      <w:fldChar w:fldCharType="begin"/>
    </w:r>
    <w:r>
      <w:rPr/>
      <w:instrText xml:space="preserve"> PAGE </w:instrText>
    </w:r>
    <w:r>
      <w:rPr/>
      <w:fldChar w:fldCharType="separate"/>
    </w:r>
    <w:r>
      <w:rPr/>
      <w:t>0</w:t>
    </w:r>
    <w:r>
      <w:rPr/>
      <w:fldChar w:fldCharType="end"/>
    </w:r>
    <w:r>
      <w:rPr>
        <w:sz w:val="16"/>
      </w:rPr>
      <w:t xml:space="preserve"> z </w:t>
    </w:r>
    <w:r>
      <w:rPr/>
      <w:fldChar w:fldCharType="begin"/>
    </w:r>
    <w:r>
      <w:rPr/>
      <w:instrText xml:space="preserve"> NUMPAGES </w:instrText>
    </w:r>
    <w:r>
      <w:rPr/>
      <w:fldChar w:fldCharType="separate"/>
    </w:r>
    <w:r>
      <w:rPr/>
      <w:t>20</w:t>
    </w:r>
    <w:r>
      <w:rPr/>
      <w:fldChar w:fldCharType="end"/>
    </w:r>
    <w:r>
      <w:rPr>
        <w:sz w:val="16"/>
      </w:rPr>
      <w:t xml:space="preserve"> </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864174545"/>
      <w:docPartObj>
        <w:docPartGallery w:val="Page Numbers (Bottom of Page)"/>
        <w:docPartUnique w:val="true"/>
        <w:docPartGallery w:val="Page Numbers (Top of Page)"/>
        <w:docPartUnique w:val="true"/>
      </w:docPartObj>
    </w:sdtPr>
    <w:sdtContent>
      <w:p>
        <w:pPr>
          <w:pStyle w:val="Footer"/>
          <w:jc w:val="center"/>
          <w:rPr/>
        </w:pPr>
        <w:r>
          <w:rPr/>
          <w:t xml:space="preserve">Strona </w:t>
        </w:r>
        <w:r>
          <w:rPr>
            <w:b/>
            <w:bCs/>
            <w:sz w:val="24"/>
            <w:szCs w:val="24"/>
          </w:rPr>
          <w:fldChar w:fldCharType="begin"/>
        </w:r>
        <w:r>
          <w:rPr>
            <w:b/>
            <w:bCs/>
            <w:sz w:val="24"/>
            <w:szCs w:val="24"/>
          </w:rPr>
          <w:instrText xml:space="preserve"> PAGE </w:instrText>
        </w:r>
        <w:r>
          <w:rPr>
            <w:b/>
            <w:bCs/>
            <w:sz w:val="24"/>
            <w:szCs w:val="24"/>
          </w:rPr>
          <w:fldChar w:fldCharType="separate"/>
        </w:r>
        <w:r>
          <w:rPr>
            <w:b/>
            <w:bCs/>
            <w:sz w:val="24"/>
            <w:szCs w:val="24"/>
          </w:rPr>
          <w:t>20</w:t>
        </w:r>
        <w:r>
          <w:rPr>
            <w:b/>
            <w:bCs/>
            <w:sz w:val="24"/>
            <w:szCs w:val="24"/>
          </w:rPr>
          <w:fldChar w:fldCharType="end"/>
        </w:r>
        <w:r>
          <w:rPr/>
          <w:t xml:space="preserve"> z </w:t>
        </w:r>
        <w:r>
          <w:rPr>
            <w:b/>
            <w:bCs/>
            <w:sz w:val="24"/>
            <w:szCs w:val="24"/>
          </w:rPr>
          <w:fldChar w:fldCharType="begin"/>
        </w:r>
        <w:r>
          <w:rPr>
            <w:b/>
            <w:bCs/>
            <w:sz w:val="24"/>
            <w:szCs w:val="24"/>
          </w:rPr>
          <w:instrText xml:space="preserve"> NUMPAGES </w:instrText>
        </w:r>
        <w:r>
          <w:rPr>
            <w:b/>
            <w:bCs/>
            <w:sz w:val="24"/>
            <w:szCs w:val="24"/>
          </w:rPr>
          <w:fldChar w:fldCharType="separate"/>
        </w:r>
        <w:r>
          <w:rPr>
            <w:b/>
            <w:bCs/>
            <w:sz w:val="24"/>
            <w:szCs w:val="24"/>
          </w:rPr>
          <w:t>20</w:t>
        </w:r>
        <w:r>
          <w:rPr>
            <w:b/>
            <w:bCs/>
            <w:sz w:val="24"/>
            <w:szCs w:val="24"/>
          </w:rPr>
          <w:fldChar w:fldCharType="end"/>
        </w:r>
      </w:p>
    </w:sdtContent>
  </w:sdt>
  <w:p>
    <w:pPr>
      <w:pStyle w:val="Normal"/>
      <w:spacing w:lineRule="auto" w:line="290" w:before="0" w:after="0"/>
      <w:ind w:hanging="725" w:start="3996" w:end="3348"/>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728636285"/>
      <w:docPartObj>
        <w:docPartGallery w:val="Page Numbers (Bottom of Page)"/>
        <w:docPartUnique w:val="true"/>
        <w:docPartGallery w:val="Page Numbers (Top of Page)"/>
        <w:docPartUnique w:val="true"/>
      </w:docPartObj>
    </w:sdtPr>
    <w:sdtContent>
      <w:p>
        <w:pPr>
          <w:pStyle w:val="Footer"/>
          <w:jc w:val="center"/>
          <w:rPr/>
        </w:pPr>
        <w:r>
          <w:rPr/>
          <w:t xml:space="preserve">Strona </w:t>
        </w:r>
        <w:r>
          <w:rPr>
            <w:b/>
            <w:bCs/>
            <w:sz w:val="24"/>
            <w:szCs w:val="24"/>
          </w:rPr>
          <w:fldChar w:fldCharType="begin"/>
        </w:r>
        <w:r>
          <w:rPr>
            <w:b/>
            <w:bCs/>
            <w:sz w:val="24"/>
            <w:szCs w:val="24"/>
          </w:rPr>
          <w:instrText xml:space="preserve"> PAGE </w:instrText>
        </w:r>
        <w:r>
          <w:rPr>
            <w:b/>
            <w:bCs/>
            <w:sz w:val="24"/>
            <w:szCs w:val="24"/>
          </w:rPr>
          <w:fldChar w:fldCharType="separate"/>
        </w:r>
        <w:r>
          <w:rPr>
            <w:b/>
            <w:bCs/>
            <w:sz w:val="24"/>
            <w:szCs w:val="24"/>
          </w:rPr>
          <w:t>1</w:t>
        </w:r>
        <w:r>
          <w:rPr>
            <w:b/>
            <w:bCs/>
            <w:sz w:val="24"/>
            <w:szCs w:val="24"/>
          </w:rPr>
          <w:fldChar w:fldCharType="end"/>
        </w:r>
        <w:r>
          <w:rPr/>
          <w:t xml:space="preserve"> z </w:t>
        </w:r>
        <w:r>
          <w:rPr>
            <w:b/>
            <w:bCs/>
            <w:sz w:val="24"/>
            <w:szCs w:val="24"/>
          </w:rPr>
          <w:fldChar w:fldCharType="begin"/>
        </w:r>
        <w:r>
          <w:rPr>
            <w:b/>
            <w:bCs/>
            <w:sz w:val="24"/>
            <w:szCs w:val="24"/>
          </w:rPr>
          <w:instrText xml:space="preserve"> NUMPAGES </w:instrText>
        </w:r>
        <w:r>
          <w:rPr>
            <w:b/>
            <w:bCs/>
            <w:sz w:val="24"/>
            <w:szCs w:val="24"/>
          </w:rPr>
          <w:fldChar w:fldCharType="separate"/>
        </w:r>
        <w:r>
          <w:rPr>
            <w:b/>
            <w:bCs/>
            <w:sz w:val="24"/>
            <w:szCs w:val="24"/>
          </w:rPr>
          <w:t>20</w:t>
        </w:r>
        <w:r>
          <w:rPr>
            <w:b/>
            <w:bCs/>
            <w:sz w:val="24"/>
            <w:szCs w:val="24"/>
          </w:rPr>
          <w:fldChar w:fldCharType="end"/>
        </w:r>
      </w:p>
    </w:sdtContent>
  </w:sdt>
  <w:p>
    <w:pPr>
      <w:pStyle w:val="Normal"/>
      <w:spacing w:lineRule="auto" w:line="290" w:before="0" w:after="0"/>
      <w:ind w:hanging="0" w:start="0" w:end="3348"/>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360" w:before="0" w:after="0"/>
      <w:ind w:hanging="10" w:start="10" w:end="587"/>
      <w:jc w:val="end"/>
      <w:rPr>
        <w:szCs w:val="20"/>
      </w:rPr>
    </w:pPr>
    <w:r>
      <w:drawing>
        <wp:anchor distT="0" distB="0" distL="0" distR="0" simplePos="0" relativeHeight="20" behindDoc="1" locked="0" layoutInCell="1" allowOverlap="1">
          <wp:simplePos x="0" y="0"/>
          <wp:positionH relativeFrom="column">
            <wp:posOffset>5705475</wp:posOffset>
          </wp:positionH>
          <wp:positionV relativeFrom="paragraph">
            <wp:posOffset>-210185</wp:posOffset>
          </wp:positionV>
          <wp:extent cx="681355" cy="681355"/>
          <wp:effectExtent l="0" t="0" r="0" b="0"/>
          <wp:wrapNone/>
          <wp:docPr id="1" name="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 10"/>
                  <pic:cNvPicPr>
                    <a:picLocks noChangeAspect="1" noChangeArrowheads="1"/>
                  </pic:cNvPicPr>
                </pic:nvPicPr>
                <pic:blipFill>
                  <a:blip r:embed="rId1"/>
                  <a:stretch>
                    <a:fillRect/>
                  </a:stretch>
                </pic:blipFill>
                <pic:spPr bwMode="auto">
                  <a:xfrm>
                    <a:off x="0" y="0"/>
                    <a:ext cx="681355" cy="681355"/>
                  </a:xfrm>
                  <a:prstGeom prst="rect">
                    <a:avLst/>
                  </a:prstGeom>
                  <a:noFill/>
                </pic:spPr>
              </pic:pic>
            </a:graphicData>
          </a:graphic>
        </wp:anchor>
      </w:drawing>
    </w:r>
    <w:r>
      <w:rPr>
        <w:b/>
        <w:szCs w:val="20"/>
      </w:rPr>
      <w:t>SPECYFIKACJA TECHNICZNA WYKONANIA I ODBIORU ROBÓT</w:t>
    </w:r>
  </w:p>
  <w:p>
    <w:pPr>
      <w:pStyle w:val="Normal"/>
      <w:spacing w:lineRule="auto" w:line="360" w:before="0" w:after="0"/>
      <w:ind w:hanging="0" w:start="0" w:end="587"/>
      <w:jc w:val="end"/>
      <w:rPr>
        <w:szCs w:val="20"/>
      </w:rPr>
    </w:pPr>
    <w:r>
      <w:rPr>
        <w:b/>
        <w:szCs w:val="20"/>
      </w:rPr>
      <w:t xml:space="preserve"> </w:t>
    </w:r>
    <w:r>
      <w:rPr>
        <w:b/>
        <w:szCs w:val="20"/>
      </w:rPr>
      <w:t>BUDYNEK A</w:t>
    </w:r>
    <w:r>
      <w:rPr>
        <w:b/>
        <w:szCs w:val="20"/>
      </w:rPr>
      <w:t>4, A5, A23</w:t>
    </w:r>
    <w:r>
      <w:rPr>
        <w:b/>
        <w:szCs w:val="20"/>
      </w:rPr>
      <w:t>, A</w:t>
    </w:r>
    <w:r>
      <w:rPr>
        <w:b/>
        <w:szCs w:val="20"/>
      </w:rPr>
      <w:t>23</w:t>
    </w:r>
    <w:r>
      <w:rPr>
        <w:b/>
        <w:szCs w:val="20"/>
      </w:rPr>
      <w:t>a, A</w:t>
    </w:r>
    <w:r>
      <w:rPr>
        <w:b/>
        <w:szCs w:val="20"/>
      </w:rPr>
      <w:t>25</w:t>
    </w:r>
    <w:r>
      <w:rPr>
        <w:b/>
        <w:szCs w:val="20"/>
      </w:rPr>
      <w:t xml:space="preserve"> – ROBOTY WYKOŃCZENIOWE WEWNĘTRZNE</w:t>
    </w:r>
  </w:p>
  <w:p>
    <w:pPr>
      <w:pStyle w:val="Header"/>
      <w:ind w:hanging="10" w:start="10" w:end="587"/>
      <w:rPr/>
    </w:pPr>
    <w:r>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9072"/>
        <w:tab w:val="center" w:pos="4536" w:leader="none"/>
        <w:tab w:val="right" w:pos="8647" w:leader="none"/>
      </w:tabs>
      <w:ind w:hanging="10" w:start="10" w:end="430"/>
      <w:jc w:val="end"/>
      <w:rPr>
        <w:color w:themeColor="accent5" w:themeShade="80" w:val="1F4E79"/>
      </w:rPr>
    </w:pPr>
    <w:r>
      <w:drawing>
        <wp:anchor distT="0" distB="0" distL="0" distR="0" simplePos="0" relativeHeight="2" behindDoc="1" locked="0" layoutInCell="1" allowOverlap="1">
          <wp:simplePos x="0" y="0"/>
          <wp:positionH relativeFrom="column">
            <wp:posOffset>5686425</wp:posOffset>
          </wp:positionH>
          <wp:positionV relativeFrom="paragraph">
            <wp:posOffset>-210185</wp:posOffset>
          </wp:positionV>
          <wp:extent cx="681355" cy="681355"/>
          <wp:effectExtent l="0" t="0" r="0" b="0"/>
          <wp:wrapNone/>
          <wp:docPr id="2"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2"/>
                  <pic:cNvPicPr>
                    <a:picLocks noChangeAspect="1" noChangeArrowheads="1"/>
                  </pic:cNvPicPr>
                </pic:nvPicPr>
                <pic:blipFill>
                  <a:blip r:embed="rId1"/>
                  <a:stretch>
                    <a:fillRect/>
                  </a:stretch>
                </pic:blipFill>
                <pic:spPr bwMode="auto">
                  <a:xfrm>
                    <a:off x="0" y="0"/>
                    <a:ext cx="681355" cy="681355"/>
                  </a:xfrm>
                  <a:prstGeom prst="rect">
                    <a:avLst/>
                  </a:prstGeom>
                  <a:noFill/>
                </pic:spPr>
              </pic:pic>
            </a:graphicData>
          </a:graphic>
        </wp:anchor>
      </w:drawing>
    </w:r>
    <w:r>
      <w:rPr>
        <w:color w:themeColor="accent5" w:themeShade="80" w:val="1F4E79"/>
      </w:rPr>
      <w:t>POLITECHNIKA POZNAŃSKA</w:t>
    </w:r>
  </w:p>
  <w:p>
    <w:pPr>
      <w:pStyle w:val="Header"/>
      <w:tabs>
        <w:tab w:val="clear" w:pos="9072"/>
        <w:tab w:val="center" w:pos="4536" w:leader="none"/>
        <w:tab w:val="right" w:pos="8647" w:leader="none"/>
      </w:tabs>
      <w:ind w:hanging="10" w:start="10" w:end="430"/>
      <w:jc w:val="end"/>
      <w:rPr/>
    </w:pPr>
    <w:r>
      <w:rPr>
        <w:color w:themeColor="accent5" w:themeShade="80" w:val="1F4E79"/>
      </w:rPr>
      <w:t>ul. Jacka Rychlewskiego 1, 61-131 Poznań</w:t>
    </w:r>
    <w:r>
      <w:rPr/>
      <w:t xml:space="preserve"> </w:t>
    </w:r>
  </w:p>
  <w:p>
    <w:pPr>
      <w:pStyle w:val="Header"/>
      <w:rPr/>
    </w:pPr>
    <w:r>
      <w:rPr/>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1054"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1">
      <w:start w:val="1"/>
      <w:numFmt w:val="bullet"/>
      <w:lvlText w:val="o"/>
      <w:lvlJc w:val="start"/>
      <w:pPr>
        <w:tabs>
          <w:tab w:val="num" w:pos="0"/>
        </w:tabs>
        <w:ind w:start="178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2">
      <w:start w:val="1"/>
      <w:numFmt w:val="bullet"/>
      <w:lvlText w:val="▪"/>
      <w:lvlJc w:val="start"/>
      <w:pPr>
        <w:tabs>
          <w:tab w:val="num" w:pos="0"/>
        </w:tabs>
        <w:ind w:start="250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3">
      <w:start w:val="1"/>
      <w:numFmt w:val="bullet"/>
      <w:lvlText w:val="•"/>
      <w:lvlJc w:val="start"/>
      <w:pPr>
        <w:tabs>
          <w:tab w:val="num" w:pos="0"/>
        </w:tabs>
        <w:ind w:start="322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4">
      <w:start w:val="1"/>
      <w:numFmt w:val="bullet"/>
      <w:lvlText w:val="o"/>
      <w:lvlJc w:val="start"/>
      <w:pPr>
        <w:tabs>
          <w:tab w:val="num" w:pos="0"/>
        </w:tabs>
        <w:ind w:start="394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5">
      <w:start w:val="1"/>
      <w:numFmt w:val="bullet"/>
      <w:lvlText w:val="▪"/>
      <w:lvlJc w:val="start"/>
      <w:pPr>
        <w:tabs>
          <w:tab w:val="num" w:pos="0"/>
        </w:tabs>
        <w:ind w:start="466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6">
      <w:start w:val="1"/>
      <w:numFmt w:val="bullet"/>
      <w:lvlText w:val="•"/>
      <w:lvlJc w:val="start"/>
      <w:pPr>
        <w:tabs>
          <w:tab w:val="num" w:pos="0"/>
        </w:tabs>
        <w:ind w:start="538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7">
      <w:start w:val="1"/>
      <w:numFmt w:val="bullet"/>
      <w:lvlText w:val="o"/>
      <w:lvlJc w:val="start"/>
      <w:pPr>
        <w:tabs>
          <w:tab w:val="num" w:pos="0"/>
        </w:tabs>
        <w:ind w:start="610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8">
      <w:start w:val="1"/>
      <w:numFmt w:val="bullet"/>
      <w:lvlText w:val="▪"/>
      <w:lvlJc w:val="start"/>
      <w:pPr>
        <w:tabs>
          <w:tab w:val="num" w:pos="0"/>
        </w:tabs>
        <w:ind w:start="682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abstractNum>
  <w:abstractNum w:abstractNumId="2">
    <w:lvl w:ilvl="0">
      <w:start w:val="2"/>
      <w:numFmt w:val="decimal"/>
      <w:lvlText w:val="%1."/>
      <w:lvlJc w:val="start"/>
      <w:pPr>
        <w:tabs>
          <w:tab w:val="num" w:pos="0"/>
        </w:tabs>
        <w:ind w:start="202"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1">
      <w:start w:val="1"/>
      <w:numFmt w:val="decimal"/>
      <w:lvlText w:val="%1.%2."/>
      <w:lvlJc w:val="start"/>
      <w:pPr>
        <w:tabs>
          <w:tab w:val="num" w:pos="0"/>
        </w:tabs>
        <w:ind w:start="451"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2">
      <w:start w:val="1"/>
      <w:numFmt w:val="lowerRoman"/>
      <w:lvlText w:val="%3"/>
      <w:lvlJc w:val="start"/>
      <w:pPr>
        <w:tabs>
          <w:tab w:val="num" w:pos="0"/>
        </w:tabs>
        <w:ind w:start="1080"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3">
      <w:start w:val="1"/>
      <w:numFmt w:val="decimal"/>
      <w:lvlText w:val="%4"/>
      <w:lvlJc w:val="start"/>
      <w:pPr>
        <w:tabs>
          <w:tab w:val="num" w:pos="0"/>
        </w:tabs>
        <w:ind w:start="1800"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4">
      <w:start w:val="1"/>
      <w:numFmt w:val="lowerLetter"/>
      <w:lvlText w:val="%5"/>
      <w:lvlJc w:val="start"/>
      <w:pPr>
        <w:tabs>
          <w:tab w:val="num" w:pos="0"/>
        </w:tabs>
        <w:ind w:start="2520"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5">
      <w:start w:val="1"/>
      <w:numFmt w:val="lowerRoman"/>
      <w:lvlText w:val="%6"/>
      <w:lvlJc w:val="start"/>
      <w:pPr>
        <w:tabs>
          <w:tab w:val="num" w:pos="0"/>
        </w:tabs>
        <w:ind w:start="3240"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6">
      <w:start w:val="1"/>
      <w:numFmt w:val="decimal"/>
      <w:lvlText w:val="%7"/>
      <w:lvlJc w:val="start"/>
      <w:pPr>
        <w:tabs>
          <w:tab w:val="num" w:pos="0"/>
        </w:tabs>
        <w:ind w:start="3960"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7">
      <w:start w:val="1"/>
      <w:numFmt w:val="lowerLetter"/>
      <w:lvlText w:val="%8"/>
      <w:lvlJc w:val="start"/>
      <w:pPr>
        <w:tabs>
          <w:tab w:val="num" w:pos="0"/>
        </w:tabs>
        <w:ind w:start="4680"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8">
      <w:start w:val="1"/>
      <w:numFmt w:val="lowerRoman"/>
      <w:lvlText w:val="%9"/>
      <w:lvlJc w:val="start"/>
      <w:pPr>
        <w:tabs>
          <w:tab w:val="num" w:pos="0"/>
        </w:tabs>
        <w:ind w:start="5400"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abstractNum>
  <w:abstractNum w:abstractNumId="3">
    <w:lvl w:ilvl="0">
      <w:start w:val="1"/>
      <w:numFmt w:val="bullet"/>
      <w:lvlText w:val="-"/>
      <w:lvlJc w:val="start"/>
      <w:pPr>
        <w:tabs>
          <w:tab w:val="num" w:pos="0"/>
        </w:tabs>
        <w:ind w:start="1054"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1">
      <w:start w:val="1"/>
      <w:numFmt w:val="bullet"/>
      <w:lvlText w:val="o"/>
      <w:lvlJc w:val="start"/>
      <w:pPr>
        <w:tabs>
          <w:tab w:val="num" w:pos="0"/>
        </w:tabs>
        <w:ind w:start="178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2">
      <w:start w:val="1"/>
      <w:numFmt w:val="bullet"/>
      <w:lvlText w:val="▪"/>
      <w:lvlJc w:val="start"/>
      <w:pPr>
        <w:tabs>
          <w:tab w:val="num" w:pos="0"/>
        </w:tabs>
        <w:ind w:start="250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3">
      <w:start w:val="1"/>
      <w:numFmt w:val="bullet"/>
      <w:lvlText w:val="•"/>
      <w:lvlJc w:val="start"/>
      <w:pPr>
        <w:tabs>
          <w:tab w:val="num" w:pos="0"/>
        </w:tabs>
        <w:ind w:start="322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4">
      <w:start w:val="1"/>
      <w:numFmt w:val="bullet"/>
      <w:lvlText w:val="o"/>
      <w:lvlJc w:val="start"/>
      <w:pPr>
        <w:tabs>
          <w:tab w:val="num" w:pos="0"/>
        </w:tabs>
        <w:ind w:start="394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5">
      <w:start w:val="1"/>
      <w:numFmt w:val="bullet"/>
      <w:lvlText w:val="▪"/>
      <w:lvlJc w:val="start"/>
      <w:pPr>
        <w:tabs>
          <w:tab w:val="num" w:pos="0"/>
        </w:tabs>
        <w:ind w:start="466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6">
      <w:start w:val="1"/>
      <w:numFmt w:val="bullet"/>
      <w:lvlText w:val="•"/>
      <w:lvlJc w:val="start"/>
      <w:pPr>
        <w:tabs>
          <w:tab w:val="num" w:pos="0"/>
        </w:tabs>
        <w:ind w:start="538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7">
      <w:start w:val="1"/>
      <w:numFmt w:val="bullet"/>
      <w:lvlText w:val="o"/>
      <w:lvlJc w:val="start"/>
      <w:pPr>
        <w:tabs>
          <w:tab w:val="num" w:pos="0"/>
        </w:tabs>
        <w:ind w:start="610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8">
      <w:start w:val="1"/>
      <w:numFmt w:val="bullet"/>
      <w:lvlText w:val="▪"/>
      <w:lvlJc w:val="start"/>
      <w:pPr>
        <w:tabs>
          <w:tab w:val="num" w:pos="0"/>
        </w:tabs>
        <w:ind w:start="682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abstractNum>
  <w:abstractNum w:abstractNumId="4">
    <w:lvl w:ilvl="0">
      <w:start w:val="1"/>
      <w:numFmt w:val="bullet"/>
      <w:lvlText w:val="-"/>
      <w:lvlJc w:val="start"/>
      <w:pPr>
        <w:tabs>
          <w:tab w:val="num" w:pos="0"/>
        </w:tabs>
        <w:ind w:start="1054"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1">
      <w:start w:val="1"/>
      <w:numFmt w:val="bullet"/>
      <w:lvlText w:val="o"/>
      <w:lvlJc w:val="start"/>
      <w:pPr>
        <w:tabs>
          <w:tab w:val="num" w:pos="0"/>
        </w:tabs>
        <w:ind w:start="178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2">
      <w:start w:val="1"/>
      <w:numFmt w:val="bullet"/>
      <w:lvlText w:val="▪"/>
      <w:lvlJc w:val="start"/>
      <w:pPr>
        <w:tabs>
          <w:tab w:val="num" w:pos="0"/>
        </w:tabs>
        <w:ind w:start="250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3">
      <w:start w:val="1"/>
      <w:numFmt w:val="bullet"/>
      <w:lvlText w:val="•"/>
      <w:lvlJc w:val="start"/>
      <w:pPr>
        <w:tabs>
          <w:tab w:val="num" w:pos="0"/>
        </w:tabs>
        <w:ind w:start="322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4">
      <w:start w:val="1"/>
      <w:numFmt w:val="bullet"/>
      <w:lvlText w:val="o"/>
      <w:lvlJc w:val="start"/>
      <w:pPr>
        <w:tabs>
          <w:tab w:val="num" w:pos="0"/>
        </w:tabs>
        <w:ind w:start="394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5">
      <w:start w:val="1"/>
      <w:numFmt w:val="bullet"/>
      <w:lvlText w:val="▪"/>
      <w:lvlJc w:val="start"/>
      <w:pPr>
        <w:tabs>
          <w:tab w:val="num" w:pos="0"/>
        </w:tabs>
        <w:ind w:start="466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6">
      <w:start w:val="1"/>
      <w:numFmt w:val="bullet"/>
      <w:lvlText w:val="•"/>
      <w:lvlJc w:val="start"/>
      <w:pPr>
        <w:tabs>
          <w:tab w:val="num" w:pos="0"/>
        </w:tabs>
        <w:ind w:start="538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7">
      <w:start w:val="1"/>
      <w:numFmt w:val="bullet"/>
      <w:lvlText w:val="o"/>
      <w:lvlJc w:val="start"/>
      <w:pPr>
        <w:tabs>
          <w:tab w:val="num" w:pos="0"/>
        </w:tabs>
        <w:ind w:start="610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8">
      <w:start w:val="1"/>
      <w:numFmt w:val="bullet"/>
      <w:lvlText w:val="▪"/>
      <w:lvlJc w:val="start"/>
      <w:pPr>
        <w:tabs>
          <w:tab w:val="num" w:pos="0"/>
        </w:tabs>
        <w:ind w:start="682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abstractNum>
  <w:abstractNum w:abstractNumId="5">
    <w:lvl w:ilvl="0">
      <w:start w:val="1"/>
      <w:numFmt w:val="bullet"/>
      <w:lvlText w:val="-"/>
      <w:lvlJc w:val="start"/>
      <w:pPr>
        <w:tabs>
          <w:tab w:val="num" w:pos="0"/>
        </w:tabs>
        <w:ind w:start="1054"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1">
      <w:start w:val="1"/>
      <w:numFmt w:val="bullet"/>
      <w:lvlText w:val="o"/>
      <w:lvlJc w:val="start"/>
      <w:pPr>
        <w:tabs>
          <w:tab w:val="num" w:pos="0"/>
        </w:tabs>
        <w:ind w:start="178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2">
      <w:start w:val="1"/>
      <w:numFmt w:val="bullet"/>
      <w:lvlText w:val="▪"/>
      <w:lvlJc w:val="start"/>
      <w:pPr>
        <w:tabs>
          <w:tab w:val="num" w:pos="0"/>
        </w:tabs>
        <w:ind w:start="250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3">
      <w:start w:val="1"/>
      <w:numFmt w:val="bullet"/>
      <w:lvlText w:val="•"/>
      <w:lvlJc w:val="start"/>
      <w:pPr>
        <w:tabs>
          <w:tab w:val="num" w:pos="0"/>
        </w:tabs>
        <w:ind w:start="322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4">
      <w:start w:val="1"/>
      <w:numFmt w:val="bullet"/>
      <w:lvlText w:val="o"/>
      <w:lvlJc w:val="start"/>
      <w:pPr>
        <w:tabs>
          <w:tab w:val="num" w:pos="0"/>
        </w:tabs>
        <w:ind w:start="394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5">
      <w:start w:val="1"/>
      <w:numFmt w:val="bullet"/>
      <w:lvlText w:val="▪"/>
      <w:lvlJc w:val="start"/>
      <w:pPr>
        <w:tabs>
          <w:tab w:val="num" w:pos="0"/>
        </w:tabs>
        <w:ind w:start="466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6">
      <w:start w:val="1"/>
      <w:numFmt w:val="bullet"/>
      <w:lvlText w:val="•"/>
      <w:lvlJc w:val="start"/>
      <w:pPr>
        <w:tabs>
          <w:tab w:val="num" w:pos="0"/>
        </w:tabs>
        <w:ind w:start="538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7">
      <w:start w:val="1"/>
      <w:numFmt w:val="bullet"/>
      <w:lvlText w:val="o"/>
      <w:lvlJc w:val="start"/>
      <w:pPr>
        <w:tabs>
          <w:tab w:val="num" w:pos="0"/>
        </w:tabs>
        <w:ind w:start="610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8">
      <w:start w:val="1"/>
      <w:numFmt w:val="bullet"/>
      <w:lvlText w:val="▪"/>
      <w:lvlJc w:val="start"/>
      <w:pPr>
        <w:tabs>
          <w:tab w:val="num" w:pos="0"/>
        </w:tabs>
        <w:ind w:start="682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abstractNum>
  <w:abstractNum w:abstractNumId="6">
    <w:lvl w:ilvl="0">
      <w:start w:val="1"/>
      <w:numFmt w:val="bullet"/>
      <w:lvlText w:val="-"/>
      <w:lvlJc w:val="start"/>
      <w:pPr>
        <w:tabs>
          <w:tab w:val="num" w:pos="0"/>
        </w:tabs>
        <w:ind w:start="1054"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1">
      <w:start w:val="1"/>
      <w:numFmt w:val="bullet"/>
      <w:lvlText w:val="o"/>
      <w:lvlJc w:val="start"/>
      <w:pPr>
        <w:tabs>
          <w:tab w:val="num" w:pos="0"/>
        </w:tabs>
        <w:ind w:start="178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2">
      <w:start w:val="1"/>
      <w:numFmt w:val="bullet"/>
      <w:lvlText w:val="▪"/>
      <w:lvlJc w:val="start"/>
      <w:pPr>
        <w:tabs>
          <w:tab w:val="num" w:pos="0"/>
        </w:tabs>
        <w:ind w:start="250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3">
      <w:start w:val="1"/>
      <w:numFmt w:val="bullet"/>
      <w:lvlText w:val="•"/>
      <w:lvlJc w:val="start"/>
      <w:pPr>
        <w:tabs>
          <w:tab w:val="num" w:pos="0"/>
        </w:tabs>
        <w:ind w:start="322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4">
      <w:start w:val="1"/>
      <w:numFmt w:val="bullet"/>
      <w:lvlText w:val="o"/>
      <w:lvlJc w:val="start"/>
      <w:pPr>
        <w:tabs>
          <w:tab w:val="num" w:pos="0"/>
        </w:tabs>
        <w:ind w:start="394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5">
      <w:start w:val="1"/>
      <w:numFmt w:val="bullet"/>
      <w:lvlText w:val="▪"/>
      <w:lvlJc w:val="start"/>
      <w:pPr>
        <w:tabs>
          <w:tab w:val="num" w:pos="0"/>
        </w:tabs>
        <w:ind w:start="466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6">
      <w:start w:val="1"/>
      <w:numFmt w:val="bullet"/>
      <w:lvlText w:val="•"/>
      <w:lvlJc w:val="start"/>
      <w:pPr>
        <w:tabs>
          <w:tab w:val="num" w:pos="0"/>
        </w:tabs>
        <w:ind w:start="538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7">
      <w:start w:val="1"/>
      <w:numFmt w:val="bullet"/>
      <w:lvlText w:val="o"/>
      <w:lvlJc w:val="start"/>
      <w:pPr>
        <w:tabs>
          <w:tab w:val="num" w:pos="0"/>
        </w:tabs>
        <w:ind w:start="610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8">
      <w:start w:val="1"/>
      <w:numFmt w:val="bullet"/>
      <w:lvlText w:val="▪"/>
      <w:lvlJc w:val="start"/>
      <w:pPr>
        <w:tabs>
          <w:tab w:val="num" w:pos="0"/>
        </w:tabs>
        <w:ind w:start="682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abstractNum>
  <w:abstractNum w:abstractNumId="7">
    <w:lvl w:ilvl="0">
      <w:start w:val="1"/>
      <w:numFmt w:val="bullet"/>
      <w:lvlText w:val="-"/>
      <w:lvlJc w:val="start"/>
      <w:pPr>
        <w:tabs>
          <w:tab w:val="num" w:pos="0"/>
        </w:tabs>
        <w:ind w:start="1054"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1">
      <w:start w:val="1"/>
      <w:numFmt w:val="bullet"/>
      <w:lvlText w:val="o"/>
      <w:lvlJc w:val="start"/>
      <w:pPr>
        <w:tabs>
          <w:tab w:val="num" w:pos="0"/>
        </w:tabs>
        <w:ind w:start="178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2">
      <w:start w:val="1"/>
      <w:numFmt w:val="bullet"/>
      <w:lvlText w:val="▪"/>
      <w:lvlJc w:val="start"/>
      <w:pPr>
        <w:tabs>
          <w:tab w:val="num" w:pos="0"/>
        </w:tabs>
        <w:ind w:start="250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3">
      <w:start w:val="1"/>
      <w:numFmt w:val="bullet"/>
      <w:lvlText w:val="•"/>
      <w:lvlJc w:val="start"/>
      <w:pPr>
        <w:tabs>
          <w:tab w:val="num" w:pos="0"/>
        </w:tabs>
        <w:ind w:start="322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4">
      <w:start w:val="1"/>
      <w:numFmt w:val="bullet"/>
      <w:lvlText w:val="o"/>
      <w:lvlJc w:val="start"/>
      <w:pPr>
        <w:tabs>
          <w:tab w:val="num" w:pos="0"/>
        </w:tabs>
        <w:ind w:start="394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5">
      <w:start w:val="1"/>
      <w:numFmt w:val="bullet"/>
      <w:lvlText w:val="▪"/>
      <w:lvlJc w:val="start"/>
      <w:pPr>
        <w:tabs>
          <w:tab w:val="num" w:pos="0"/>
        </w:tabs>
        <w:ind w:start="466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6">
      <w:start w:val="1"/>
      <w:numFmt w:val="bullet"/>
      <w:lvlText w:val="•"/>
      <w:lvlJc w:val="start"/>
      <w:pPr>
        <w:tabs>
          <w:tab w:val="num" w:pos="0"/>
        </w:tabs>
        <w:ind w:start="538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7">
      <w:start w:val="1"/>
      <w:numFmt w:val="bullet"/>
      <w:lvlText w:val="o"/>
      <w:lvlJc w:val="start"/>
      <w:pPr>
        <w:tabs>
          <w:tab w:val="num" w:pos="0"/>
        </w:tabs>
        <w:ind w:start="610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8">
      <w:start w:val="1"/>
      <w:numFmt w:val="bullet"/>
      <w:lvlText w:val="▪"/>
      <w:lvlJc w:val="start"/>
      <w:pPr>
        <w:tabs>
          <w:tab w:val="num" w:pos="0"/>
        </w:tabs>
        <w:ind w:start="682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abstractNum>
  <w:abstractNum w:abstractNumId="8">
    <w:lvl w:ilvl="0">
      <w:start w:val="6"/>
      <w:numFmt w:val="decimal"/>
      <w:lvlText w:val="%1."/>
      <w:lvlJc w:val="start"/>
      <w:pPr>
        <w:tabs>
          <w:tab w:val="num" w:pos="0"/>
        </w:tabs>
        <w:ind w:start="202"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1">
      <w:start w:val="1"/>
      <w:numFmt w:val="decimal"/>
      <w:lvlText w:val="%1.%2."/>
      <w:lvlJc w:val="start"/>
      <w:pPr>
        <w:tabs>
          <w:tab w:val="num" w:pos="0"/>
        </w:tabs>
        <w:ind w:start="353"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2">
      <w:start w:val="1"/>
      <w:numFmt w:val="decimal"/>
      <w:lvlText w:val="%1.%2.%3."/>
      <w:lvlJc w:val="start"/>
      <w:pPr>
        <w:tabs>
          <w:tab w:val="num" w:pos="0"/>
        </w:tabs>
        <w:ind w:start="1440"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3">
      <w:start w:val="1"/>
      <w:numFmt w:val="bullet"/>
      <w:lvlText w:val="-"/>
      <w:lvlJc w:val="start"/>
      <w:pPr>
        <w:tabs>
          <w:tab w:val="num" w:pos="0"/>
        </w:tabs>
        <w:ind w:start="1800"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4">
      <w:start w:val="1"/>
      <w:numFmt w:val="bullet"/>
      <w:lvlText w:val="o"/>
      <w:lvlJc w:val="start"/>
      <w:pPr>
        <w:tabs>
          <w:tab w:val="num" w:pos="0"/>
        </w:tabs>
        <w:ind w:start="178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5">
      <w:start w:val="1"/>
      <w:numFmt w:val="bullet"/>
      <w:lvlText w:val="▪"/>
      <w:lvlJc w:val="start"/>
      <w:pPr>
        <w:tabs>
          <w:tab w:val="num" w:pos="0"/>
        </w:tabs>
        <w:ind w:start="250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6">
      <w:start w:val="1"/>
      <w:numFmt w:val="bullet"/>
      <w:lvlText w:val="•"/>
      <w:lvlJc w:val="start"/>
      <w:pPr>
        <w:tabs>
          <w:tab w:val="num" w:pos="0"/>
        </w:tabs>
        <w:ind w:start="322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7">
      <w:start w:val="1"/>
      <w:numFmt w:val="bullet"/>
      <w:lvlText w:val="o"/>
      <w:lvlJc w:val="start"/>
      <w:pPr>
        <w:tabs>
          <w:tab w:val="num" w:pos="0"/>
        </w:tabs>
        <w:ind w:start="394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8">
      <w:start w:val="1"/>
      <w:numFmt w:val="bullet"/>
      <w:lvlText w:val="▪"/>
      <w:lvlJc w:val="start"/>
      <w:pPr>
        <w:tabs>
          <w:tab w:val="num" w:pos="0"/>
        </w:tabs>
        <w:ind w:start="466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abstractNum>
  <w:abstractNum w:abstractNumId="9">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pl-PL" w:eastAsia="pl-PL"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suppressAutoHyphens w:val="true"/>
      <w:bidi w:val="0"/>
      <w:spacing w:lineRule="auto" w:line="271" w:before="0" w:after="13"/>
      <w:ind w:hanging="10" w:start="10"/>
      <w:jc w:val="both"/>
    </w:pPr>
    <w:rPr>
      <w:rFonts w:ascii="Times New Roman" w:hAnsi="Times New Roman" w:eastAsia="Times New Roman" w:cs="Times New Roman"/>
      <w:color w:val="000000"/>
      <w:kern w:val="0"/>
      <w:sz w:val="20"/>
      <w:szCs w:val="22"/>
      <w:lang w:val="pl-PL" w:eastAsia="pl-PL" w:bidi="ar-SA"/>
    </w:rPr>
  </w:style>
  <w:style w:type="paragraph" w:styleId="Heading1">
    <w:name w:val="heading 1"/>
    <w:next w:val="Normal"/>
    <w:link w:val="Nagwek1Znak"/>
    <w:uiPriority w:val="9"/>
    <w:qFormat/>
    <w:pPr>
      <w:keepNext w:val="true"/>
      <w:keepLines/>
      <w:widowControl/>
      <w:suppressAutoHyphens w:val="true"/>
      <w:bidi w:val="0"/>
      <w:spacing w:lineRule="auto" w:line="259" w:before="0" w:after="0"/>
      <w:ind w:hanging="10" w:start="10" w:end="2346"/>
      <w:jc w:val="end"/>
      <w:outlineLvl w:val="0"/>
    </w:pPr>
    <w:rPr>
      <w:rFonts w:ascii="Times New Roman" w:hAnsi="Times New Roman" w:eastAsia="Times New Roman" w:cs="Times New Roman"/>
      <w:color w:val="000000"/>
      <w:kern w:val="0"/>
      <w:sz w:val="36"/>
      <w:szCs w:val="22"/>
      <w:lang w:val="pl-PL" w:eastAsia="pl-PL" w:bidi="ar-SA"/>
    </w:rPr>
  </w:style>
  <w:style w:type="paragraph" w:styleId="Heading2">
    <w:name w:val="heading 2"/>
    <w:next w:val="Normal"/>
    <w:link w:val="Nagwek2Znak"/>
    <w:uiPriority w:val="9"/>
    <w:unhideWhenUsed/>
    <w:qFormat/>
    <w:pPr>
      <w:keepNext w:val="true"/>
      <w:keepLines/>
      <w:widowControl/>
      <w:suppressAutoHyphens w:val="true"/>
      <w:bidi w:val="0"/>
      <w:spacing w:lineRule="auto" w:line="269" w:before="0" w:after="16"/>
      <w:ind w:hanging="10" w:start="10"/>
      <w:jc w:val="start"/>
      <w:outlineLvl w:val="1"/>
    </w:pPr>
    <w:rPr>
      <w:rFonts w:ascii="Times New Roman" w:hAnsi="Times New Roman" w:eastAsia="Times New Roman" w:cs="Times New Roman"/>
      <w:color w:val="000000"/>
      <w:kern w:val="0"/>
      <w:sz w:val="20"/>
      <w:szCs w:val="22"/>
      <w:u w:val="single" w:color="000000"/>
      <w:lang w:val="pl-PL" w:eastAsia="pl-PL" w:bidi="ar-SA"/>
    </w:rPr>
  </w:style>
  <w:style w:type="character" w:styleId="DefaultParagraphFont" w:default="1">
    <w:name w:val="Default Paragraph Font"/>
    <w:uiPriority w:val="1"/>
    <w:semiHidden/>
    <w:unhideWhenUsed/>
    <w:qFormat/>
    <w:rPr/>
  </w:style>
  <w:style w:type="character" w:styleId="Nagwek2Znak" w:customStyle="1">
    <w:name w:val="Nagłówek 2 Znak"/>
    <w:qFormat/>
    <w:rPr>
      <w:rFonts w:ascii="Times New Roman" w:hAnsi="Times New Roman" w:eastAsia="Times New Roman" w:cs="Times New Roman"/>
      <w:color w:val="000000"/>
      <w:sz w:val="20"/>
      <w:u w:val="single" w:color="000000"/>
    </w:rPr>
  </w:style>
  <w:style w:type="character" w:styleId="Nagwek1Znak" w:customStyle="1">
    <w:name w:val="Nagłówek 1 Znak"/>
    <w:qFormat/>
    <w:rPr>
      <w:rFonts w:ascii="Times New Roman" w:hAnsi="Times New Roman" w:eastAsia="Times New Roman" w:cs="Times New Roman"/>
      <w:color w:val="000000"/>
      <w:sz w:val="36"/>
    </w:rPr>
  </w:style>
  <w:style w:type="character" w:styleId="NagwekZnak" w:customStyle="1">
    <w:name w:val="Nagłówek Znak"/>
    <w:basedOn w:val="DefaultParagraphFont"/>
    <w:uiPriority w:val="99"/>
    <w:qFormat/>
    <w:rsid w:val="0003296c"/>
    <w:rPr>
      <w:rFonts w:ascii="Times New Roman" w:hAnsi="Times New Roman" w:eastAsia="Times New Roman" w:cs="Times New Roman"/>
      <w:color w:val="000000"/>
      <w:sz w:val="20"/>
    </w:rPr>
  </w:style>
  <w:style w:type="character" w:styleId="StopkaZnak" w:customStyle="1">
    <w:name w:val="Stopka Znak"/>
    <w:basedOn w:val="DefaultParagraphFont"/>
    <w:uiPriority w:val="99"/>
    <w:qFormat/>
    <w:rsid w:val="0003296c"/>
    <w:rPr>
      <w:rFonts w:cs="Times New Roman"/>
    </w:rPr>
  </w:style>
  <w:style w:type="paragraph" w:styleId="Nagwek">
    <w:name w:val="Nagłówek"/>
    <w:basedOn w:val="Normal"/>
    <w:next w:val="BodyText"/>
    <w:qFormat/>
    <w:pPr>
      <w:keepNext w:val="true"/>
      <w:spacing w:before="240" w:after="120"/>
    </w:pPr>
    <w:rPr>
      <w:rFonts w:ascii="Liberation Sans" w:hAnsi="Liberation Sans" w:eastAsia="Microsoft YaHei"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Times New Roman" w:hAnsi="Times New Roman" w:cs="Arial Unicode MS"/>
    </w:rPr>
  </w:style>
  <w:style w:type="paragraph" w:styleId="Caption">
    <w:name w:val="caption"/>
    <w:basedOn w:val="Normal"/>
    <w:qFormat/>
    <w:pPr>
      <w:suppressLineNumbers/>
      <w:spacing w:before="120" w:after="120"/>
    </w:pPr>
    <w:rPr>
      <w:rFonts w:ascii="Times New Roman" w:hAnsi="Times New Roman" w:cs="Arial Unicode MS"/>
      <w:i/>
      <w:iCs/>
      <w:sz w:val="24"/>
      <w:szCs w:val="24"/>
    </w:rPr>
  </w:style>
  <w:style w:type="paragraph" w:styleId="Indeks">
    <w:name w:val="Indeks"/>
    <w:basedOn w:val="Normal"/>
    <w:qFormat/>
    <w:pPr>
      <w:suppressLineNumbers/>
    </w:pPr>
    <w:rPr>
      <w:rFonts w:ascii="Times New Roman" w:hAnsi="Times New Roman" w:cs="Arial Unicode MS"/>
    </w:rPr>
  </w:style>
  <w:style w:type="paragraph" w:styleId="Nagwekuser">
    <w:name w:val="Nagłówek (user)"/>
    <w:basedOn w:val="Normal"/>
    <w:next w:val="BodyText"/>
    <w:qFormat/>
    <w:pPr>
      <w:keepNext w:val="true"/>
      <w:spacing w:before="240" w:after="120"/>
    </w:pPr>
    <w:rPr>
      <w:rFonts w:ascii="Liberation Sans" w:hAnsi="Liberation Sans" w:eastAsia="Microsoft YaHei" w:cs="Arial Unicode MS"/>
      <w:sz w:val="28"/>
      <w:szCs w:val="28"/>
    </w:rPr>
  </w:style>
  <w:style w:type="paragraph" w:styleId="Indeksuser">
    <w:name w:val="Indeks (user)"/>
    <w:basedOn w:val="Normal"/>
    <w:qFormat/>
    <w:pPr>
      <w:suppressLineNumbers/>
    </w:pPr>
    <w:rPr>
      <w:rFonts w:ascii="Times New Roman" w:hAnsi="Times New Roman" w:cs="Arial Unicode MS"/>
    </w:rPr>
  </w:style>
  <w:style w:type="paragraph" w:styleId="Gwkaistopkauser">
    <w:name w:val="Główka i stopka (user)"/>
    <w:basedOn w:val="Normal"/>
    <w:qFormat/>
    <w:pPr/>
    <w:rPr/>
  </w:style>
  <w:style w:type="paragraph" w:styleId="Gwkaistopka">
    <w:name w:val="Główka i stopka"/>
    <w:basedOn w:val="Normal"/>
    <w:qFormat/>
    <w:pPr/>
    <w:rPr/>
  </w:style>
  <w:style w:type="paragraph" w:styleId="Header">
    <w:name w:val="header"/>
    <w:basedOn w:val="Normal"/>
    <w:link w:val="NagwekZnak"/>
    <w:uiPriority w:val="99"/>
    <w:unhideWhenUsed/>
    <w:rsid w:val="0003296c"/>
    <w:pPr>
      <w:tabs>
        <w:tab w:val="clear" w:pos="708"/>
        <w:tab w:val="center" w:pos="4536" w:leader="none"/>
        <w:tab w:val="right" w:pos="9072" w:leader="none"/>
      </w:tabs>
      <w:spacing w:lineRule="auto" w:line="240" w:before="0" w:after="0"/>
    </w:pPr>
    <w:rPr/>
  </w:style>
  <w:style w:type="paragraph" w:styleId="Footer">
    <w:name w:val="footer"/>
    <w:basedOn w:val="Normal"/>
    <w:link w:val="StopkaZnak"/>
    <w:uiPriority w:val="99"/>
    <w:unhideWhenUsed/>
    <w:rsid w:val="0003296c"/>
    <w:pPr>
      <w:tabs>
        <w:tab w:val="clear" w:pos="708"/>
        <w:tab w:val="center" w:pos="4680" w:leader="none"/>
        <w:tab w:val="right" w:pos="9360" w:leader="none"/>
      </w:tabs>
      <w:spacing w:lineRule="auto" w:line="240" w:before="0" w:after="0"/>
      <w:ind w:hanging="0" w:start="0"/>
      <w:jc w:val="start"/>
    </w:pPr>
    <w:rPr>
      <w:rFonts w:ascii="Calibri" w:hAnsi="Calibri" w:eastAsia="" w:asciiTheme="minorHAnsi" w:eastAsiaTheme="minorEastAsia" w:hAnsiTheme="minorHAnsi"/>
      <w:color w:val="auto"/>
      <w:sz w:val="22"/>
    </w:rPr>
  </w:style>
  <w:style w:type="numbering" w:styleId="Bezlistyuser" w:default="1">
    <w:name w:val="Bez listy (user)"/>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customStyle="1" w:styleId="TableGrid">
    <w:name w:val="TableGrid"/>
    <w:pPr>
      <w:spacing w:after="0" w:line="240" w:lineRule="auto"/>
    </w:p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98</TotalTime>
  <Application>LibreOffice/25.8.5.2$Windows_X86_64 LibreOffice_project/9c8b85f387cc00a89945a79c9e6239f32e450ac2</Application>
  <AppVersion>15.0000</AppVersion>
  <Pages>20</Pages>
  <Words>6787</Words>
  <Characters>45139</Characters>
  <CharactersWithSpaces>52337</CharactersWithSpaces>
  <Paragraphs>585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2025-04-22T08:32:00Z</dcterms:created>
  <dc:creator>Krzysztof</dc:creator>
  <dc:description/>
  <dc:language>pl-PL</dc:language>
  <cp:lastModifiedBy/>
  <dcterms:modified xsi:type="dcterms:W3CDTF">2026-04-14T12:40:01Z</dcterms:modified>
  <cp:revision>9</cp:revision>
  <dc:subject/>
  <dc:title>AWF-specyfikacja r. wykoñczeniowe</dc:title>
</cp:coreProperties>
</file>

<file path=docProps/custom.xml><?xml version="1.0" encoding="utf-8"?>
<Properties xmlns="http://schemas.openxmlformats.org/officeDocument/2006/custom-properties" xmlns:vt="http://schemas.openxmlformats.org/officeDocument/2006/docPropsVTypes"/>
</file>